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ДОГОВОР ПОСТАВКИ №_________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  <w:t xml:space="preserve">   «___»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Акционерное общество «Дальневосточная генерирующая компания» (АО «ДГК»)</w:t>
      </w:r>
      <w:r>
        <w:rPr>
          <w:spacing w:val="2"/>
          <w:sz w:val="24"/>
          <w:szCs w:val="24"/>
        </w:rPr>
        <w:t xml:space="preserve">, (далее – </w:t>
      </w:r>
      <w:r>
        <w:rPr>
          <w:sz w:val="24"/>
          <w:szCs w:val="24"/>
        </w:rPr>
        <w:t xml:space="preserve">Покупатель),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 (сокращенное наименование Контрагента),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Поставщик), в лице _________________, действующего на основании _</w:t>
      </w:r>
      <w:r>
        <w:rPr>
          <w:sz w:val="24"/>
          <w:szCs w:val="24"/>
          <w:highlight w:val="white"/>
        </w:rPr>
        <w:t xml:space="preserve">__________________, с другой стороны,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совместно в дальнейшем именуемые Стороны, а по отдельности Сторона, </w:t>
      </w:r>
      <w:r>
        <w:rPr>
          <w:sz w:val="24"/>
          <w:szCs w:val="24"/>
          <w:highlight w:val="white"/>
          <w:lang w:eastAsia="en-US"/>
        </w:rPr>
        <w:t xml:space="preserve">по результатам проведенной Покупателем конкурентной закупочной процедуры (или закупочной процедуры) по лоту № _____ и на основании протокола от ______ №______,</w:t>
      </w:r>
      <w:r>
        <w:rPr>
          <w:sz w:val="24"/>
          <w:szCs w:val="24"/>
          <w:highlight w:val="white"/>
        </w:rPr>
        <w:t xml:space="preserve"> заключили настоящий договор поставки (далее – «Договор») о нижеследующем: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Термины и определения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</w:t>
      </w:r>
      <w:r>
        <w:rPr>
          <w:bCs/>
          <w:sz w:val="24"/>
          <w:szCs w:val="24"/>
          <w:highlight w:val="white"/>
        </w:rPr>
        <w:t xml:space="preserve">ующие значения, если иное прямо не указано в Договоре: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«Акт входного контроля»</w:t>
      </w:r>
      <w:r>
        <w:rPr>
          <w:sz w:val="24"/>
          <w:szCs w:val="24"/>
          <w:highlight w:val="white"/>
          <w:lang w:eastAsia="en-US"/>
        </w:rPr>
        <w:t xml:space="preserve"> – документ, оформляемый Покупателем в одностороннем порядке при приемке поставленного Товара по количеству, качеству и комплектности.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 xml:space="preserve">– период, в течение которого качество поставленного Товара должно соответствовать требованиям Договора и Применимого</w:t>
      </w:r>
      <w:r>
        <w:rPr>
          <w:sz w:val="24"/>
          <w:szCs w:val="24"/>
          <w:lang w:eastAsia="en-US"/>
        </w:rPr>
        <w:t xml:space="preserve"> права, и Поставщик и/ или изготовитель Товара 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Товара.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eastAsia="en-US"/>
        </w:rPr>
        <w:t xml:space="preserve">«Грузополучатели»</w:t>
      </w:r>
      <w:r>
        <w:rPr>
          <w:sz w:val="24"/>
          <w:szCs w:val="24"/>
          <w:highlight w:val="whit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Покупателем и Поставщиком,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оформляемый по унифицированной форме №ТОРГ-12 «Товарная накладная», утвержденной постановлением Госкомстата РФ от 25.12.1998 №132, подписываемый Сторонами после завершения приемки Товара по количеству, качеству и комплектности.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</w:t>
      </w:r>
      <w:r>
        <w:rPr>
          <w:sz w:val="24"/>
          <w:szCs w:val="24"/>
          <w:lang w:eastAsia="en-US"/>
        </w:rPr>
        <w:t xml:space="preserve">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Товару.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none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 2 Дого</w:t>
      </w:r>
      <w:r>
        <w:rPr>
          <w:sz w:val="24"/>
          <w:szCs w:val="24"/>
          <w:lang w:eastAsia="en-US"/>
        </w:rPr>
        <w:t xml:space="preserve">вора сумма, которую Покупатель обязуется уплатить Поставщику в порядке и на условиях, установленных Договором, включающая компенсацию всех издержек Поставщика и причитающееся ему вознаграждение, а также инфляционные риски на весь период действия Договора. </w:t>
      </w:r>
      <w:r>
        <w:rPr>
          <w:sz w:val="24"/>
          <w:szCs w:val="24"/>
          <w:highlight w:val="none"/>
          <w:lang w:eastAsia="en-US"/>
        </w:rPr>
      </w:r>
      <w:r>
        <w:rPr>
          <w:sz w:val="24"/>
          <w:szCs w:val="24"/>
          <w:highlight w:val="none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en-US"/>
        </w:rPr>
      </w:r>
      <w:r>
        <w:rPr>
          <w:b/>
          <w:bCs/>
          <w:sz w:val="24"/>
          <w:szCs w:val="24"/>
          <w:highlight w:val="none"/>
          <w:lang w:eastAsia="en-US"/>
        </w:rPr>
        <w:t xml:space="preserve">«Универсальный передаточный документ (УПД)»</w:t>
      </w:r>
      <w:r>
        <w:rPr>
          <w:b w:val="0"/>
          <w:bCs w:val="0"/>
          <w:sz w:val="24"/>
          <w:szCs w:val="24"/>
          <w:highlight w:val="none"/>
          <w:lang w:eastAsia="en-US"/>
        </w:rPr>
        <w:t xml:space="preserve"> – форма документа, рекомендованная для применения письмом ФНС России от 21.10.2013 №ММВ-20-3/96@ (объединяет реквизиты счета-фактуры и первичного документа о передаче товаров, работ, услуг).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в порядке и сроки, установленные Договором, передать в собственность Покупателю</w:t>
      </w:r>
      <w:r>
        <w:rPr>
          <w:rFonts w:eastAsia="Calibri"/>
          <w:bCs/>
          <w:sz w:val="24"/>
          <w:szCs w:val="24"/>
          <w:lang w:eastAsia="en-US"/>
        </w:rPr>
        <w:t xml:space="preserve"> высоковольтные выключатели 110кВ </w:t>
      </w:r>
      <w:r>
        <w:rPr>
          <w:bCs/>
          <w:sz w:val="24"/>
          <w:szCs w:val="24"/>
        </w:rPr>
        <w:t xml:space="preserve">(далее – Товар) в соответствии со Спецификацией (Приложение №1 к Договору), оказать </w:t>
      </w:r>
      <w:r>
        <w:rPr>
          <w:bCs/>
          <w:sz w:val="24"/>
          <w:szCs w:val="24"/>
        </w:rPr>
        <w:t xml:space="preserve">шефмонтажные</w:t>
      </w:r>
      <w:r>
        <w:rPr>
          <w:bCs/>
          <w:sz w:val="24"/>
          <w:szCs w:val="24"/>
        </w:rPr>
        <w:t xml:space="preserve"> и </w:t>
      </w:r>
      <w:r>
        <w:rPr>
          <w:bCs/>
          <w:sz w:val="24"/>
          <w:szCs w:val="24"/>
        </w:rPr>
        <w:t xml:space="preserve">шефналадочные</w:t>
      </w:r>
      <w:r>
        <w:rPr>
          <w:bCs/>
          <w:sz w:val="24"/>
          <w:szCs w:val="24"/>
        </w:rPr>
        <w:t xml:space="preserve"> услуги по установке Товара (далее – услуги) в соответствии с Расчетом стоимости услуг (Приложение № 2 к Договору), а Покупатель обязуется принять и уплатить Товар и оказанные услуги.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в соответствии со Спецификацией (Приложение №1 к Договору).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а также место его поставки и Грузополучатель указаны в 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Общий срок поставки Товара: с 01.01.202</w:t>
      </w:r>
      <w:r>
        <w:rPr>
          <w:bCs/>
          <w:sz w:val="24"/>
          <w:szCs w:val="24"/>
          <w:highlight w:val="white"/>
        </w:rPr>
        <w:t xml:space="preserve">7</w:t>
      </w:r>
      <w:r>
        <w:rPr>
          <w:bCs/>
          <w:sz w:val="24"/>
          <w:szCs w:val="24"/>
          <w:highlight w:val="white"/>
        </w:rPr>
        <w:t xml:space="preserve"> по 3</w:t>
      </w:r>
      <w:r>
        <w:rPr>
          <w:bCs/>
          <w:sz w:val="24"/>
          <w:szCs w:val="24"/>
          <w:highlight w:val="white"/>
        </w:rPr>
        <w:t xml:space="preserve">0</w:t>
      </w:r>
      <w:r>
        <w:rPr>
          <w:bCs/>
          <w:sz w:val="24"/>
          <w:szCs w:val="24"/>
          <w:highlight w:val="white"/>
        </w:rPr>
        <w:t xml:space="preserve">.06.202</w:t>
      </w:r>
      <w:r>
        <w:rPr>
          <w:bCs/>
          <w:sz w:val="24"/>
          <w:szCs w:val="24"/>
          <w:highlight w:val="white"/>
        </w:rPr>
        <w:t xml:space="preserve">7</w:t>
      </w:r>
      <w:r>
        <w:rPr>
          <w:bCs/>
          <w:sz w:val="24"/>
          <w:szCs w:val="24"/>
          <w:highlight w:val="white"/>
        </w:rPr>
        <w:t xml:space="preserve"> года.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Срок поставки Товара до каждого грузополучателя указан в Спецификации (Приложение №1 к Договору)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/>
        <w:jc w:val="both"/>
        <w:shd w:val="clear" w:color="auto" w:fill="ffffff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Цена Договора и порядок расчетов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</w:pPr>
      <w:r>
        <w:rPr>
          <w:sz w:val="24"/>
          <w:szCs w:val="24"/>
        </w:rPr>
        <w:t xml:space="preserve">2.1. </w:t>
      </w:r>
      <w:r>
        <w:rPr>
          <w:sz w:val="24"/>
          <w:szCs w:val="24"/>
          <w:highlight w:val="white"/>
        </w:rPr>
        <w:t xml:space="preserve">Цена Договора в с</w:t>
      </w:r>
      <w:r>
        <w:rPr>
          <w:sz w:val="24"/>
          <w:szCs w:val="24"/>
          <w:highlight w:val="white"/>
        </w:rPr>
        <w:t xml:space="preserve">оответствии со Спецификацией (Приложение № 1 к Договору) и Расчетом стоимости Услуг (Приложение № 2 к Договору) является предельной и составляет ХХХ (ХХХ) рублей ХХ копеек, в том числе НДС (22%) ХХХ рублей ХХ копеек и включает в себя:</w:t>
      </w:r>
      <w:r>
        <w:rPr>
          <w:bCs/>
          <w:sz w:val="24"/>
          <w:szCs w:val="24"/>
          <w:highlight w:val="white"/>
        </w:rPr>
        <w:t xml:space="preserve"> </w:t>
      </w:r>
      <w:r/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2.1.1.Стоимость Товара в соответствии со Спецификацией (Приложение №1 к Договору), которая является твердой и составляет ХХХ </w:t>
      </w:r>
      <w:r>
        <w:rPr>
          <w:bCs/>
          <w:sz w:val="24"/>
          <w:szCs w:val="24"/>
          <w:highlight w:val="white"/>
        </w:rPr>
        <w:t xml:space="preserve">(ХХХ</w:t>
      </w:r>
      <w:r>
        <w:rPr>
          <w:bCs/>
          <w:sz w:val="24"/>
          <w:szCs w:val="24"/>
          <w:highlight w:val="white"/>
        </w:rPr>
        <w:t xml:space="preserve">) рублей ХХ </w:t>
      </w:r>
      <w:r>
        <w:rPr>
          <w:bCs/>
          <w:sz w:val="24"/>
          <w:szCs w:val="24"/>
          <w:highlight w:val="white"/>
        </w:rPr>
        <w:t xml:space="preserve">копеек, в том числе НДС (22%) ХХХ (ХХХ) рублей ХХ копеек;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2.1.2 </w:t>
      </w:r>
      <w:r>
        <w:rPr>
          <w:sz w:val="24"/>
          <w:szCs w:val="24"/>
          <w:highlight w:val="white"/>
        </w:rPr>
        <w:t xml:space="preserve">Стоимость Услуг в соответствии с Расчетом стоимости Услуг (Приложение № 2 к Договору), которая является предельной и составляет ХХХ </w:t>
      </w:r>
      <w:r>
        <w:rPr>
          <w:bCs/>
          <w:sz w:val="24"/>
          <w:szCs w:val="24"/>
          <w:highlight w:val="white"/>
        </w:rPr>
        <w:t xml:space="preserve">(ХХХ</w:t>
      </w:r>
      <w:r>
        <w:rPr>
          <w:bCs/>
          <w:sz w:val="24"/>
          <w:szCs w:val="24"/>
          <w:highlight w:val="white"/>
        </w:rPr>
        <w:t xml:space="preserve">) рублей ХХ</w:t>
      </w:r>
      <w:r>
        <w:rPr>
          <w:bCs/>
          <w:sz w:val="24"/>
          <w:szCs w:val="24"/>
          <w:highlight w:val="white"/>
        </w:rPr>
        <w:t xml:space="preserve"> копеек, в том числе НДС (22%) ХХХ (ХХХ) рублей ХХ копеек.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2.2. Цена за единицу Товара определяется в Спецификации (Приложение №1 к Договору) в соответствии </w:t>
      </w:r>
      <w:r>
        <w:rPr>
          <w:sz w:val="24"/>
        </w:rPr>
        <w:t xml:space="preserve">с условиями проведенной конкурентной закупочной/ или закупочной процедуры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Товара,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 не могут превышать Цену Договора, указанную в пункте 2.1.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2.3. Цена Товара включает в себя прибыль Поставщика, а также все расходы и затраты Поставщика на: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- производство и/ или приобретение Товара в соответствии со Спецификацией (Приложение № 1 к Договору);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погрузку, транспортировку Товара до места поставки, стоимость тары и упаковки;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подлежащие уплате налоги, сборы и пошлины (в том числе по таможенному оформлению Товара, если применимо);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заработную плату, накладные и командировочные расходы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- все прочие затраты и расходы Поставщика, связанные с поставкой Товара 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</w:pPr>
      <w:r>
        <w:rPr>
          <w:sz w:val="24"/>
          <w:szCs w:val="24"/>
          <w:highlight w:val="none"/>
        </w:rPr>
        <w:t xml:space="preserve">Цена Услуг включает в себя все расходы Поставщика по оказанию шефмонтажных и шефналадочных услуг, а также командировочные расходы при условии, что услуги оказываются единовременно. Командировочные расходы включаются в стоимость услуг. Размеры расходов, </w:t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вязанных со служебными командировками, определяются коллективным договором и / или локальным нормативным актом Покупателя, но не выше нормативов возмещения расходов, связанных со служебными командировками, установленных локальным нормативным актом Покупате</w:t>
      </w:r>
      <w:r>
        <w:rPr>
          <w:sz w:val="24"/>
          <w:szCs w:val="24"/>
          <w:highlight w:val="none"/>
        </w:rPr>
        <w:t xml:space="preserve">л</w:t>
      </w:r>
      <w:r>
        <w:rPr>
          <w:sz w:val="24"/>
          <w:szCs w:val="24"/>
          <w:highlight w:val="none"/>
        </w:rPr>
        <w:t xml:space="preserve">я, который предоставляется Поставщику по запросу. Оплата командировочных расходов производится Покупателем в порядке, установленном Договором для оплаты стоимости соответствующих услуг. Поставщик обязан представлять по запросу Заказчика копии следующих док</w:t>
      </w:r>
      <w:r>
        <w:rPr>
          <w:sz w:val="24"/>
          <w:szCs w:val="24"/>
          <w:highlight w:val="none"/>
        </w:rPr>
        <w:t xml:space="preserve">ументов, заверенных Поставщиком, в том числе: приказ о командировке, проездные билеты, счета на оплату за проживание в гостинице и авансовые отчеты. </w:t>
      </w:r>
      <w:r>
        <w:rPr>
          <w:sz w:val="24"/>
          <w:szCs w:val="24"/>
          <w:highlight w:val="none"/>
        </w:rPr>
      </w:r>
      <w:r/>
    </w:p>
    <w:p>
      <w:pPr>
        <w:ind w:firstLine="567"/>
        <w:jc w:val="both"/>
        <w:shd w:val="clear" w:color="auto" w:fill="ffffff"/>
        <w:tabs>
          <w:tab w:val="left" w:pos="0" w:leader="none"/>
        </w:tabs>
      </w:pPr>
      <w:r>
        <w:rPr>
          <w:sz w:val="24"/>
          <w:szCs w:val="24"/>
          <w:highlight w:val="none"/>
        </w:rPr>
        <w:t xml:space="preserve">Смета на оказание шефмонтажных и шефналадочных услуг подлежит согласованию Сторонами в течение 30 (тридцати) рабочих дней с даты подписания Договора Сторонами. После согласования сметы Стороны обязаны уточнить Расчет стоимости Услуг (Приложение № 2 к До</w:t>
      </w:r>
      <w:r>
        <w:rPr>
          <w:sz w:val="24"/>
          <w:szCs w:val="24"/>
          <w:highlight w:val="none"/>
        </w:rPr>
        <w:t xml:space="preserve">говору) путем заключения дополнительного соглашения к Договору.</w:t>
      </w:r>
      <w:r>
        <w:rPr>
          <w:sz w:val="24"/>
          <w:szCs w:val="24"/>
          <w:highlight w:val="none"/>
        </w:rPr>
      </w:r>
      <w:r/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  <w:t xml:space="preserve">При несогласовании сметы  в установленный срок Поставщик обязан по соответствующему письменному требованию Покупателя приостановить исполнение Договора полностью или в части до момента такого согласования. </w:t>
      </w: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После согласования Расчета стоимости Услуг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Стороны обязаны уточнить Цену Договора</w:t>
      </w:r>
      <w:r>
        <w:rPr>
          <w:bCs/>
          <w:sz w:val="24"/>
          <w:szCs w:val="24"/>
        </w:rPr>
        <w:t xml:space="preserve"> путем заключения дополнительного соглашения к Договору. </w:t>
      </w:r>
      <w:r>
        <w:rPr>
          <w:bCs/>
          <w:sz w:val="24"/>
          <w:szCs w:val="24"/>
        </w:rPr>
        <w:t xml:space="preserve">Расчет стоимости Услуг включаются в Договор в качестве приложения путем заключения дополнительного соглашения к Договору.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2.4. Изменение цены Договора не требует заключения дополнительного соглашения к </w:t>
      </w:r>
      <w:r>
        <w:rPr>
          <w:sz w:val="24"/>
          <w:szCs w:val="24"/>
        </w:rPr>
        <w:t xml:space="preserve">Договору только в случае, когда оно вызвано изменением ставки российского НДС.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num" w:pos="0" w:leader="none"/>
          <w:tab w:val="num" w:pos="56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2.5. Оплата Товара осуществляется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2.5.1. Авансовый  платеж в размере 30% от стоимости Товара осуществляется в течение 30 (тридцати) к</w:t>
      </w:r>
      <w:r>
        <w:rPr>
          <w:sz w:val="24"/>
          <w:szCs w:val="24"/>
          <w:highlight w:val="white"/>
        </w:rPr>
        <w:t xml:space="preserve">алендарных дне</w:t>
      </w:r>
      <w:r>
        <w:rPr>
          <w:sz w:val="24"/>
          <w:szCs w:val="24"/>
          <w:highlight w:val="white"/>
        </w:rPr>
        <w:t xml:space="preserve">й с даты получения Покупателем счета, выставленного Поставщиком, при условии получения Покупателем уведомления от Поставщика о начале изготовления товара и счета, но не ранее 30 (тридцати) календарных дней до даты начала изготовления Товара.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2.5.2. Остаток платежа в размере 70% от стоимости поставленного Товара осуществляется Покупателем по факту поставки Товара в течение 45 (сорока пяти) календарных дней </w:t>
      </w:r>
      <w:r>
        <w:rPr>
          <w:i/>
          <w:iCs/>
          <w:sz w:val="24"/>
          <w:szCs w:val="24"/>
        </w:rPr>
        <w:t xml:space="preserve">(в случае если победитель закупочной процедуры является субъектом малого и среднего предпринимательства (МСП) – в течение 7 рабочих дней)</w:t>
      </w:r>
      <w:r>
        <w:rPr>
          <w:sz w:val="24"/>
          <w:szCs w:val="24"/>
        </w:rPr>
        <w:t xml:space="preserve"> с момента подписания Покупателем (грузополучателем) товарной накладной (УПД) при наличии акта входного контроля.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2.5.3. Оплата за оказанные </w:t>
      </w:r>
      <w:r>
        <w:rPr>
          <w:sz w:val="24"/>
          <w:szCs w:val="24"/>
        </w:rPr>
        <w:t xml:space="preserve">шефмонтажные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шефналадочные</w:t>
      </w:r>
      <w:r>
        <w:rPr>
          <w:sz w:val="24"/>
          <w:szCs w:val="24"/>
        </w:rPr>
        <w:t xml:space="preserve"> услуги осуществляется в течение 45 (сорока пяти) календарных дней </w:t>
      </w:r>
      <w:r>
        <w:rPr>
          <w:i/>
          <w:iCs/>
          <w:sz w:val="24"/>
          <w:szCs w:val="24"/>
        </w:rPr>
        <w:t xml:space="preserve">(в случае если победитель закупочной процедуры является субъектом малого и среднего предпринимательства (МСП) – в течение 7 рабочих дней)</w:t>
      </w:r>
      <w:r>
        <w:rPr>
          <w:sz w:val="24"/>
          <w:szCs w:val="24"/>
        </w:rPr>
        <w:t xml:space="preserve"> с даты подписания Акта сдачи-приемки оказанных услуг по форме Приложения № 3 к настоящему Договору, на основании счета-фактуры (УПД).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2.5.4. Поставщик в срок не позднее 3 (трех) рабочих дней до предпола</w:t>
      </w:r>
      <w:r>
        <w:rPr>
          <w:sz w:val="24"/>
          <w:szCs w:val="24"/>
          <w:highlight w:val="white"/>
        </w:rPr>
        <w:t xml:space="preserve">гаемой даты выплаты авансового платежа, должен предоставить Покупателю Банковскую гарантию возврата авансового платежа, отвечающую требованиям, указанным в Приложениях № 4 и № 5, по акту приема-передачи по форме, согласно Приложению №6 настоящего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widowControl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2.6. В случае выставления Поставщиком счета на сумму менее размера предусмотренного Договором платежа, оплата осуществляется по сум</w:t>
      </w:r>
      <w:r>
        <w:rPr>
          <w:sz w:val="24"/>
          <w:szCs w:val="24"/>
        </w:rPr>
        <w:t xml:space="preserve">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Покупателем не принимается и подлежит замене Поставщиком независимо от его фа</w:t>
      </w:r>
      <w:r>
        <w:rPr>
          <w:sz w:val="24"/>
          <w:szCs w:val="24"/>
        </w:rPr>
        <w:t xml:space="preserve">ктического вручения Покупателю. В случае выставления Поставщиком счета позднее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П</w:t>
      </w:r>
      <w:r>
        <w:rPr>
          <w:sz w:val="24"/>
          <w:szCs w:val="24"/>
          <w:highlight w:val="white"/>
        </w:rPr>
        <w:t xml:space="preserve">окупателем.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2.7. </w:t>
      </w:r>
      <w:r>
        <w:rPr>
          <w:bCs/>
          <w:sz w:val="24"/>
          <w:szCs w:val="24"/>
          <w:highlight w:val="white"/>
        </w:rPr>
        <w:t xml:space="preserve">Расчеты по Договору осуществляются в валюте Российской Федерации.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Оплата производится Покупателем путем перечисления денежных средств на расчетный счет Поставщика, указанный в Договоре. Обязательство Покупателя по осуществлению платежа считается исполненным с даты списания денежных средств с расчетного счета Покупателя.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2.8. </w:t>
      </w:r>
      <w:r>
        <w:rPr>
          <w:sz w:val="24"/>
          <w:szCs w:val="24"/>
          <w:highlight w:val="white"/>
        </w:rPr>
        <w:t xml:space="preserve">Индексация Цены Договора не 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2.9. </w:t>
      </w:r>
      <w:r>
        <w:rPr>
          <w:sz w:val="24"/>
          <w:szCs w:val="24"/>
          <w:highlight w:val="white"/>
        </w:rPr>
        <w:t xml:space="preserve">Поставщик обязан представить Покупателю счет-фактуру (УПД), выставленный в сроки и офор</w:t>
      </w:r>
      <w:r>
        <w:rPr>
          <w:sz w:val="24"/>
          <w:szCs w:val="24"/>
          <w:highlight w:val="white"/>
        </w:rPr>
        <w:t xml:space="preserve">мленный в порядке, установленном законодательством Российской Федерации.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В случае нарушения Поставщиком данного требования, он обязан произвести замену счета-фактуры (УПД) в течение 3 (трех) рабочих дней с даты получения соответствующего письменного требования Покупателя.</w:t>
      </w:r>
      <w:r>
        <w:rPr>
          <w:rStyle w:val="1034"/>
          <w:sz w:val="24"/>
          <w:szCs w:val="24"/>
          <w:highlight w:val="white"/>
        </w:rPr>
        <w:footnoteReference w:id="2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 В случае непредставления Поставщиком в течение 5 (пяти) календарных дней с даты получения авансового платежа счета-фактуры (УПД), подтверждающего</w:t>
      </w:r>
      <w:r>
        <w:rPr>
          <w:sz w:val="24"/>
          <w:szCs w:val="24"/>
        </w:rPr>
        <w:t xml:space="preserve"> право Покупателя на вычет НДС, уплаченного дополнительно к такому авансу, Поставщик обязан в тот же срок возвратить Покупателю разницу между суммой, фактически перечисленной Покупателем, и суммой соответствующего авансового платежа, взятого без учета НДС.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2.10. Поставщик обязан подписать акты сверки взаимных расчетов, направленные Покупателем в 2 (двух) экземплярах, и вернуть 1 (один) экземпляр Покупателю в течение 5 (пяти) рабочих дней с даты получения экземпляров актов сверки расчетов от Покупателя.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highlight w:val="white"/>
        </w:rPr>
        <w:t xml:space="preserve">2.11. Покупатель вправе произвести сальдо взаимных обязательств сто</w:t>
      </w:r>
      <w:r>
        <w:rPr>
          <w:sz w:val="24"/>
          <w:highlight w:val="white"/>
        </w:rPr>
        <w:t xml:space="preserve">рон путем уменьшения сумм причитающихся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</w:t>
      </w:r>
      <w:r>
        <w:rPr>
          <w:sz w:val="24"/>
          <w:highlight w:val="white"/>
        </w:rPr>
        <w:t xml:space="preserve">Поставщика перед Покупателем, в том числе (включая, но не ограничива</w:t>
      </w:r>
      <w:r>
        <w:rPr>
          <w:sz w:val="24"/>
          <w:highlight w:val="white"/>
        </w:rPr>
        <w:t xml:space="preserve">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поставленного Поставщиком Товара / оказанных Поставщиком услуг</w:t>
      </w:r>
      <w:r>
        <w:rPr>
          <w:sz w:val="24"/>
        </w:rPr>
        <w:t xml:space="preserve">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Покупатель направляет Поставщику уведомление о проведении сальдо взаимных обязательств Сторон по Договору.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2.12</w:t>
      </w:r>
      <w:r>
        <w:rPr>
          <w:sz w:val="24"/>
          <w:szCs w:val="24"/>
          <w:highlight w:val="none"/>
        </w:rPr>
        <w:t xml:space="preserve">. Положения п.2.5.4. Договора вступают в силу в том случае, если по факту выплаты авансового платежа совокупная сумма неотработанных авансовых платежей по Договору составляет 5 000 000 (пять миллионов) рублей и более (без учета НДС).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и условия поставки 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567"/>
        <w:jc w:val="both"/>
        <w:shd w:val="clear" w:color="auto" w:fill="ffffff"/>
        <w:widowControl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 Поставка Товара осуществляется в соответствии со Спецификацией (Приложение №1 к Договору).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3.2. Качество, комплектность, количество и ассортимент поставляемого по Договору Товара должны соответствовать Спецификации (Приложение №1 к Договору), требованиям 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Некачественный (некомплектный) Товар считается не поставленным.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</w:rPr>
        <w:t xml:space="preserve">3.3. Пос</w:t>
      </w:r>
      <w:r>
        <w:rPr>
          <w:bCs/>
          <w:sz w:val="24"/>
          <w:szCs w:val="24"/>
        </w:rPr>
        <w:t xml:space="preserve">тавляемый Товар должен быть новым, не бывшим в употреблении, пригодным для использования по своему назначению. Поставщик гарантирует, что Товар принадлежит ему на законном основании, в споре, залоге или под арестом не состоит, и не обременен правами третьи</w:t>
      </w:r>
      <w:r>
        <w:rPr>
          <w:bCs/>
          <w:sz w:val="24"/>
          <w:szCs w:val="24"/>
          <w:highlight w:val="white"/>
        </w:rPr>
        <w:t xml:space="preserve">х лиц.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widowControl/>
        <w:tabs>
          <w:tab w:val="num" w:pos="1134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3.4. Одновременно с передачей Товара Поставщик обязан передать Покупателю оригиналы следующих относящихся к Товару документов: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7"/>
        </w:numPr>
        <w:jc w:val="both"/>
        <w:shd w:val="clear" w:color="auto" w:fill="ffffff"/>
        <w:widowControl/>
        <w:tabs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сертификат/документ качества в 1 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7"/>
        </w:numPr>
        <w:jc w:val="both"/>
        <w:shd w:val="clear" w:color="auto" w:fill="ffffff"/>
        <w:widowControl/>
        <w:tabs>
          <w:tab w:val="num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технический паспорт на русском языке в 1 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6"/>
        </w:numPr>
        <w:jc w:val="both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руководство по эксплуатации на русском языке в  1 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6"/>
        </w:numPr>
        <w:jc w:val="both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упаковочный лист в 1 (один) экз.;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6"/>
        </w:numPr>
        <w:ind w:left="0" w:firstLine="916"/>
        <w:jc w:val="both"/>
        <w:tabs>
          <w:tab w:val="left" w:pos="1134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иные документы (сертификат соответствия, сертификат безопасности, сертификат пожаробезопасности  и т.п.).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50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случае отсутствия этих документов Покупатель вправе приостановить приемку Товара до момента их предоставления Поставщиком.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567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3.5. Товар должен отгружаться Поставщиком в таре и упаковке, обеспечивающей полную сохранность Тов</w:t>
      </w:r>
      <w:r>
        <w:rPr>
          <w:bCs/>
          <w:sz w:val="24"/>
          <w:szCs w:val="24"/>
        </w:rPr>
        <w:t xml:space="preserve">ара от всякого рода повреждений и порчи, с учетом возможных перегрузок и длительного хранения. Поставщик обязан сообщить Покупателю условия длительного хранения поставленного Товара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567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требованиям Применимого права, предъявляемым к таре и упаковке соответствующего 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Товара, а также любые другие специальные требования, помимо установленных в настоящем пункте Договора, указываются Сторонами в Спецификации (Приложение №1 к Договору).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567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стоимость Товара. Тара и упаковка возврату 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567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3.6. Погрузка, доставка 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 Товара включены в Цену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3.7. Досрочная поставка Товара допускается только при условии получения Поставщиком письменного согласия Покупателя.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3.8. Датой поставки Товара является дата подписания Сторонами товарной накладной (УПД) при наличи</w:t>
      </w:r>
      <w:r>
        <w:rPr>
          <w:sz w:val="24"/>
          <w:szCs w:val="24"/>
          <w:highlight w:val="white"/>
        </w:rPr>
        <w:t xml:space="preserve">и Акта входного контроля.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3.9. Право собственности на Товар, а также риск его случайной гибели или случайного повреждения переходит от Поставщика к Покупателю с даты подписания Сторонами товарной накладной (УПД).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3.10. В случае поставки Товара, не обусловленного настоящим Договором,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затраты, связанные с хранением или отправкой (продажей) Товара, возмещает Поставщик.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567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3.11. 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highlight w:val="yellow"/>
        </w:rPr>
      </w:r>
      <w:r>
        <w:rPr>
          <w:sz w:val="24"/>
          <w:szCs w:val="24"/>
        </w:rPr>
      </w:r>
    </w:p>
    <w:p>
      <w:pPr>
        <w:contextualSpacing/>
        <w:ind w:firstLine="567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и условия приемки Товара</w:t>
      </w:r>
      <w:r>
        <w:rPr>
          <w:b/>
          <w:bCs/>
          <w:sz w:val="24"/>
          <w:szCs w:val="24"/>
        </w:rPr>
        <w:t xml:space="preserve"> и оказанных услуг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contextualSpacing/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</w:t>
      </w:r>
      <w:r>
        <w:rPr>
          <w:sz w:val="24"/>
          <w:szCs w:val="24"/>
        </w:rPr>
        <w:t xml:space="preserve">жа при Совете Министров СССР от 15.06.1965 № П-6 и Инструкцией Госарбитража при Совете Министров СССР от 25.04.1966 № П-7 в их последних редакциях, в части не урегулированной Договором и не противоречащей действующему законодательству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</w:t>
      </w:r>
      <w:r>
        <w:rPr>
          <w:sz w:val="24"/>
          <w:szCs w:val="24"/>
        </w:rPr>
        <w:t xml:space="preserve"> принятого Товара, проверить соответствие Товара сведениям, указанным в транспортных и сопроводительных документах, а также принять Товар от транспортной организации с соблюдением законов, правил и иных правовых актов, регулирующих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производится 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</w:t>
      </w:r>
      <w:r>
        <w:rPr>
          <w:sz w:val="24"/>
          <w:szCs w:val="24"/>
        </w:rPr>
        <w:t xml:space="preserve">тары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</w:t>
      </w:r>
      <w:r>
        <w:rPr>
          <w:sz w:val="24"/>
          <w:szCs w:val="24"/>
        </w:rPr>
        <w:t xml:space="preserve">алендарных дней со дня составления Сторонами двустороннего акта, если иной способ и сроки не согласованы Сторонами. После устранения недостатков, несоответствий и/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</w:t>
      </w:r>
      <w:r>
        <w:rPr>
          <w:sz w:val="24"/>
          <w:szCs w:val="24"/>
        </w:rPr>
        <w:t xml:space="preserve">ставщиком обязательств по устранению выявленных недостатков, несоответствий и/ или дефектов Товара в порядке, предусмотренном пунктом 4.4 Договора, Покупатель вправе отказаться от приемки Товара, направив соответствующее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Покупатель отказывается от переданного Поставщиком Товара, он обязан незаме</w:t>
      </w:r>
      <w:r>
        <w:rPr>
          <w:bCs/>
          <w:sz w:val="24"/>
          <w:szCs w:val="24"/>
        </w:rPr>
        <w:t xml:space="preserve">длительно письменно уведомить Поставщика о выявленных несоответствиях или недостатках Товара и обеспечить сохранность Товара (ответственное хранение). Вызов представителя Поставщика для участия в продолжении приемки Товара и составлении двустороннего акта </w:t>
      </w:r>
      <w:r>
        <w:rPr>
          <w:sz w:val="24"/>
          <w:szCs w:val="24"/>
        </w:rPr>
        <w:t xml:space="preserve">необязателен.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</w:t>
      </w:r>
      <w:r>
        <w:rPr>
          <w:bCs/>
          <w:sz w:val="24"/>
          <w:szCs w:val="24"/>
        </w:rPr>
        <w:t xml:space="preserve">к обязан вывезти Товар, принятый Покупателем (Грузополучателем) на ответственное хранение, или распорядиться им в течение 2 (двух) суток. Если Поставщик в этот срок не распорядится Товаром, Покупатель вправе реализовать его или возвратить Поставщику. Расхо</w:t>
      </w:r>
      <w:r>
        <w:rPr>
          <w:bCs/>
          <w:sz w:val="24"/>
          <w:szCs w:val="24"/>
        </w:rPr>
        <w:t xml:space="preserve">ды, понесенные Покупателем в связи с принятием Товара на ответственное хранение, его реализацией или возвратом Поставщику, подлежат возмещению Поставщиком. При этом вырученное от реализации Товара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</w:t>
      </w:r>
      <w:r>
        <w:rPr>
          <w:bCs/>
          <w:sz w:val="24"/>
          <w:szCs w:val="24"/>
        </w:rPr>
        <w:t xml:space="preserve">считается просрочившим, а Поставщик лишается права ссылаться на отсутствие платежа при просрочке поставки Товара по Заявке.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В </w:t>
      </w:r>
      <w:r>
        <w:rPr>
          <w:bCs/>
          <w:sz w:val="24"/>
          <w:szCs w:val="24"/>
          <w:highlight w:val="none"/>
        </w:rPr>
        <w:t xml:space="preserve">течение 5 (пяти) рабочих дней с даты окончания оказания услуг, Поставщик предоставляет Акт сдачи-приемки оказанных услуг по форме Приложения № 3 (далее по тексту – Акт) в двух экземплярах, подписанный со своей Стороны.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</w:pPr>
      <w:r>
        <w:rPr>
          <w:bCs/>
          <w:sz w:val="24"/>
          <w:szCs w:val="24"/>
          <w:highlight w:val="none"/>
        </w:rPr>
        <w:t xml:space="preserve">Покупатель </w:t>
      </w:r>
      <w:r>
        <w:rPr>
          <w:bCs/>
          <w:sz w:val="24"/>
          <w:szCs w:val="24"/>
          <w:highlight w:val="none"/>
        </w:rPr>
        <w:t xml:space="preserve">в течение 5 (пяти) рабочих дней с даты получения Акта обязан подписать Акт и возвратить один экземпляр Поставщику или предоставить письменный мотивированный отказ от подписания акта.</w:t>
      </w:r>
      <w:r>
        <w:rPr>
          <w:bCs/>
          <w:sz w:val="24"/>
          <w:szCs w:val="24"/>
          <w:highlight w:val="none"/>
        </w:rPr>
      </w:r>
      <w:r/>
    </w:p>
    <w:p>
      <w:pPr>
        <w:ind w:left="0" w:firstLine="0"/>
        <w:jc w:val="both"/>
        <w:shd w:val="clear" w:color="auto" w:fill="ffffff"/>
        <w:widowControl/>
        <w:tabs>
          <w:tab w:val="num" w:pos="1134" w:leader="none"/>
        </w:tabs>
      </w:pPr>
      <w:r>
        <w:rPr>
          <w:bCs/>
          <w:sz w:val="24"/>
          <w:szCs w:val="24"/>
          <w:highlight w:val="none"/>
        </w:rPr>
        <w:t xml:space="preserve">          В случае получения Поставщиком от Покупателя мотивированной претензии на некачественное выполнение работ, Поставщик устраняет недостатки и замечания в согласованные сроки за свой счет.</w:t>
      </w:r>
      <w:r>
        <w:rPr>
          <w:bCs/>
          <w:sz w:val="24"/>
          <w:szCs w:val="24"/>
          <w:highlight w:val="none"/>
        </w:rPr>
      </w:r>
      <w:r/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Переход права </w:t>
      </w:r>
      <w:r>
        <w:rPr>
          <w:bCs/>
          <w:sz w:val="24"/>
          <w:szCs w:val="24"/>
          <w:highlight w:val="none"/>
        </w:rPr>
        <w:t xml:space="preserve">собственности и риск случайной гибели на результат работ переходят на Покупателя с даты подписания Сторонами Акта без возражений.</w:t>
      </w: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Гарантийный срок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027"/>
        <w:numPr>
          <w:ilvl w:val="1"/>
          <w:numId w:val="1"/>
        </w:numPr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Гарантийный срок на</w:t>
      </w:r>
      <w:r>
        <w:rPr>
          <w:rFonts w:ascii="Times New Roman" w:hAnsi="Times New Roman"/>
          <w:sz w:val="24"/>
          <w:szCs w:val="24"/>
        </w:rPr>
        <w:t xml:space="preserve"> Товар, поставленный по Договору, </w:t>
      </w:r>
      <w:r>
        <w:rPr>
          <w:rFonts w:ascii="Times New Roman" w:hAnsi="Times New Roman"/>
          <w:sz w:val="24"/>
          <w:szCs w:val="24"/>
          <w:highlight w:val="white"/>
        </w:rPr>
        <w:t xml:space="preserve">составляет не менее ___ (____)</w:t>
      </w:r>
      <w:r>
        <w:rPr>
          <w:rFonts w:ascii="Times New Roman" w:hAnsi="Times New Roman"/>
          <w:sz w:val="24"/>
          <w:szCs w:val="24"/>
          <w:highlight w:val="white"/>
        </w:rPr>
        <w:t xml:space="preserve"> календарных месяцев с даты подписания Покупателем (грузополучателем)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т</w:t>
      </w:r>
      <w:r>
        <w:rPr>
          <w:rFonts w:ascii="Times New Roman" w:hAnsi="Times New Roman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sz w:val="24"/>
          <w:szCs w:val="24"/>
          <w:highlight w:val="white"/>
        </w:rPr>
        <w:t xml:space="preserve">р</w:t>
      </w:r>
      <w:r>
        <w:rPr>
          <w:rFonts w:ascii="Times New Roman" w:hAnsi="Times New Roman"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sz w:val="24"/>
          <w:szCs w:val="24"/>
          <w:highlight w:val="white"/>
        </w:rPr>
        <w:t xml:space="preserve">к</w:t>
      </w:r>
      <w:r>
        <w:rPr>
          <w:rFonts w:ascii="Times New Roman" w:hAnsi="Times New Roman"/>
          <w:sz w:val="24"/>
          <w:szCs w:val="24"/>
          <w:highlight w:val="white"/>
        </w:rPr>
        <w:t xml:space="preserve">л</w:t>
      </w:r>
      <w:r>
        <w:rPr>
          <w:rFonts w:ascii="Times New Roman" w:hAnsi="Times New Roman"/>
          <w:sz w:val="24"/>
          <w:szCs w:val="24"/>
          <w:highlight w:val="white"/>
        </w:rPr>
        <w:t xml:space="preserve">а</w:t>
      </w:r>
      <w:r>
        <w:rPr>
          <w:rFonts w:ascii="Times New Roman" w:hAnsi="Times New Roman"/>
          <w:sz w:val="24"/>
          <w:szCs w:val="24"/>
          <w:highlight w:val="white"/>
        </w:rPr>
        <w:t xml:space="preserve">д</w:t>
      </w:r>
      <w:r>
        <w:rPr>
          <w:rFonts w:ascii="Times New Roman" w:hAnsi="Times New Roman"/>
          <w:sz w:val="24"/>
          <w:szCs w:val="24"/>
          <w:highlight w:val="white"/>
        </w:rPr>
        <w:t xml:space="preserve">н</w:t>
      </w:r>
      <w:r>
        <w:rPr>
          <w:rFonts w:ascii="Times New Roman" w:hAnsi="Times New Roman"/>
          <w:sz w:val="24"/>
          <w:szCs w:val="24"/>
          <w:highlight w:val="white"/>
        </w:rPr>
        <w:t xml:space="preserve">о</w:t>
      </w:r>
      <w:r>
        <w:rPr>
          <w:rFonts w:ascii="Times New Roman" w:hAnsi="Times New Roman"/>
          <w:sz w:val="24"/>
          <w:szCs w:val="24"/>
          <w:highlight w:val="white"/>
        </w:rPr>
        <w:t xml:space="preserve">й</w:t>
      </w:r>
      <w:r>
        <w:rPr>
          <w:rFonts w:ascii="Times New Roman" w:hAnsi="Times New Roman"/>
          <w:sz w:val="24"/>
          <w:szCs w:val="24"/>
        </w:rPr>
        <w:t xml:space="preserve"> (УПД), если более длительный срок не предусмотрен. Гарантийный срок может быть продлен в соответствии с условиями Договора.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Поставщик гарантирует соответствие качества Товара требованиям Договора, технического паспорта и иных</w:t>
      </w:r>
      <w:r>
        <w:rPr>
          <w:sz w:val="24"/>
          <w:szCs w:val="24"/>
        </w:rPr>
        <w:t xml:space="preserve"> документов, относящихся к Товару, и Применимого права, возможность эксплуатации (использования) Товара в соответствии с его целевым назначением, а также несет безусловную ответственность за обнаруженные недостатки, несоответствия и/ или дефекты Товара, ес</w:t>
      </w:r>
      <w:r>
        <w:rPr>
          <w:sz w:val="24"/>
          <w:szCs w:val="24"/>
        </w:rPr>
        <w:t xml:space="preserve">ли не докажет, что такие недостатки, несоответствия и/ или дефекты явились следствием несоблюдения Покупателем требований по использованию Товара, установленных в инструкциях и иных документах, переданных Покупателю в соответствии с пунктом 3.4.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и/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</w:t>
      </w:r>
      <w:r>
        <w:rPr>
          <w:sz w:val="24"/>
          <w:szCs w:val="24"/>
        </w:rPr>
        <w:t xml:space="preserve">в) Товара и разумный срок на их устранение. Поставщик, в случае наличия разногласий, в течение 3 (трех) 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</w:t>
      </w:r>
      <w:r>
        <w:rPr>
          <w:sz w:val="24"/>
          <w:szCs w:val="24"/>
        </w:rPr>
        <w:t xml:space="preserve">соответствиях и/ или дефектах. Если к указанному в настоящем пункте сроку представитель Поставщика не прибудет, Акт о недостатках, несоответствиях и/ или дефектах будет составлен Покупателем в одностороннем порядке и будет признан Сторонами действительным.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в срок, указанный </w:t>
      </w:r>
      <w:bookmarkStart w:id="1" w:name="OLE_LINK5"/>
      <w:r/>
      <w:bookmarkStart w:id="2" w:name="OLE_LINK6"/>
      <w:r>
        <w:rPr>
          <w:sz w:val="24"/>
          <w:szCs w:val="24"/>
        </w:rPr>
        <w:t xml:space="preserve">Покупателем в соответствии с пунктом 5.4. Договора</w:t>
      </w:r>
      <w:bookmarkEnd w:id="1"/>
      <w:r/>
      <w:bookmarkEnd w:id="2"/>
      <w:r>
        <w:rPr>
          <w:sz w:val="24"/>
          <w:szCs w:val="24"/>
        </w:rPr>
        <w:t xml:space="preserve">, путем замены или ремонта Товара.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</w:t>
      </w:r>
      <w:r>
        <w:rPr>
          <w:sz w:val="24"/>
          <w:szCs w:val="24"/>
        </w:rPr>
        <w:t xml:space="preserve">о по письменному согласованию с Покупателем. Поставщик вправе по согласованию с Покупателем вместо замены Товара возвратить Покупателю его стоимость. Вывоз Товара для целей устранения недостатков (дефектов) осуществляется силами Поставщика и за его счет.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Поставщик не устранит недостатки (дефекты) Товара в установленный Покупателем срок, Покупатель вправе устранить их собственными силами или силами третьих лиц, с отнесением</w:t>
      </w:r>
      <w:r>
        <w:rPr>
          <w:sz w:val="24"/>
          <w:szCs w:val="24"/>
        </w:rPr>
        <w:t xml:space="preserve"> на Поставщика соответствующих расходов. Поставщик обязан возместить расходы Покупателя на устранение недостатков, несоответствий и/ или дефектов Товара в течение 10 (десяти) рабочих дней с даты получения соответствующего письменного требования Покупателя.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Гарантийный</w:t>
      </w:r>
      <w:r>
        <w:rPr>
          <w:sz w:val="24"/>
          <w:szCs w:val="24"/>
        </w:rPr>
        <w:t xml:space="preserve"> срок на замененную или отремонтированную единицу Товара устанавливается продолжительностью, указанной в пункте 5.1 Договора, и начинает исчисляться заново с даты приемки Покупателем замененной единицы Товара или работ по устранению недостатков (дефектов).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недостатков, несоответствий и / или деф</w:t>
      </w:r>
      <w:r>
        <w:rPr>
          <w:sz w:val="24"/>
          <w:szCs w:val="24"/>
        </w:rPr>
        <w:t xml:space="preserve">ектов Товара или возврат его стоимости, в том числе в рамках срока, установленного в соответствии с пунктом 5.4. Договора, не освобождает Поставщика от обязанности возмещения убытков, причиненных Покупателю вследствие наличия таких недостатков (дефектов).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hd w:val="clear" w:color="auto" w:fill="ffffff"/>
        <w:tabs>
          <w:tab w:val="left" w:pos="1190" w:leader="none"/>
        </w:tabs>
        <w:rPr>
          <w:b/>
          <w:bCs/>
        </w:rPr>
      </w:pPr>
      <w:r>
        <w:rPr>
          <w:b/>
          <w:bCs/>
          <w:sz w:val="24"/>
          <w:szCs w:val="24"/>
        </w:rPr>
        <w:tab/>
        <w:t xml:space="preserve">6.</w:t>
      </w:r>
      <w:r>
        <w:rPr>
          <w:b/>
          <w:bCs/>
          <w:sz w:val="24"/>
          <w:szCs w:val="24"/>
        </w:rPr>
        <w:tab/>
        <w:t xml:space="preserve">Порядок оказания </w:t>
      </w:r>
      <w:r>
        <w:rPr>
          <w:b/>
          <w:bCs/>
          <w:sz w:val="24"/>
          <w:szCs w:val="24"/>
        </w:rPr>
        <w:t xml:space="preserve">шефмонтажных</w:t>
      </w:r>
      <w:r>
        <w:rPr>
          <w:b/>
          <w:bCs/>
          <w:sz w:val="24"/>
          <w:szCs w:val="24"/>
        </w:rPr>
        <w:t xml:space="preserve"> и </w:t>
      </w:r>
      <w:r>
        <w:rPr>
          <w:b/>
          <w:bCs/>
          <w:sz w:val="24"/>
          <w:szCs w:val="24"/>
        </w:rPr>
        <w:t xml:space="preserve">шефналадочных</w:t>
      </w:r>
      <w:r>
        <w:rPr>
          <w:b/>
          <w:bCs/>
          <w:sz w:val="24"/>
          <w:szCs w:val="24"/>
        </w:rPr>
        <w:t xml:space="preserve"> услуг</w:t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6.1. Поставщик обязуется выполнить шеф-монтаж и шеф-наладку высоковольтных выключателей 110кВ, указанных в Спецификации (Приложение № 1 к договору).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Покупатель, по готовности к шеф-монтажу и шеф-наладке, письменно уведомляет Поставщика не менее чем за 14 (четырнадцать) календарных дней о фактической дате начала и месте оказания услуг по шеф-монтажу и шеф-наладке.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Уведомление направляется на электронный адрес Поставщика ________________. Поставщик обязан в течение 24-х часов направить в подтверждение получения уведомления ответ на электронный адрес Покупателя __________@dgk.ru.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Уведомление о прочтении Покупателем полученного сообщения электронной почты является достаточным подтверждением о получении уведомления от Покупателя о готовности к оказанию услуг.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6.2. Поставщик, являясь специалистом в области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услуг, гарантирует, что предусмотренного в Догово</w:t>
      </w:r>
      <w:r>
        <w:rPr>
          <w:sz w:val="24"/>
          <w:szCs w:val="24"/>
        </w:rPr>
        <w:t xml:space="preserve">ре объема услуг достаточно для ввода Товара в эксплуатацию. При необходимости Поставщик имеет право по своему усмотрению за свой счет в одностороннем порядке изменить предусмотренное Договором количество и категорию специалистов, направляемых для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услуг, без ущерба выполнению договорных обязательств и без увеличения Цены Договора.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6.3. Продолжительность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 - 30 (тридцать) календарных дней.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6.4. Для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 Поставщик командирует специалистов – шеф-инженеров.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6.5. Поставщик сообщает Покупателю ФИО командируемых специалистов и их специальности. Окончательная дата приезда специалистов сообщается Покупателю за 5 (пять) дней до их приезда.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6.6. Поставщик самостоятельно организует и оплачивает проезд до места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 и обратно, а также проживание направляемых для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 специалистов.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6.7. Поставщик несет ответственность и обеспечивает: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Правильность и полноту данных, выдаваемых Покупателю, содержащихся в Спецификации, за своевременность решения технических вопросов. Указания Специалистов Поставщика, касающиеся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услуг, обязательны для персонала Покупателя.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Выполнен</w:t>
      </w:r>
      <w:r>
        <w:rPr>
          <w:sz w:val="24"/>
          <w:szCs w:val="24"/>
        </w:rPr>
        <w:t xml:space="preserve">ие специалистами Поставщика требований и правил промышленной санитарии, охраны труда, техники безопасности, производственной, пожарной и экологической безопасности. Специалисты должны иметь удостоверение о допуске по электробезопасности не ниже III группы.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Выполнение специалистами Поставщика правил внутреннего трудового распорядка, действующего в месте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услуг. Продолжительность рабочей недели не должна превышать 40 (сорок) часов в неделю. Работа в выходные и праздничные дни в соответствии с Трудовым Кодексом Российской Федерации.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Оформление заводских формуляров монтажных услуг.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Внесение необходимых предложений Покупателю по корректировке сроков и хода монтажных услуг.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Консультационные услуги и представление рекомендаций Покупателю в части монтажных испытаний и эксплуатации поставленного Поставщиком товара.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Участие в приемке по качеству поставляемого Поставщиком товара в месте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 и составление соответствующих актов.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В письменной форме уведомляет руководство и ответственных лиц </w:t>
      </w:r>
      <w:r>
        <w:rPr>
          <w:sz w:val="24"/>
          <w:szCs w:val="24"/>
        </w:rPr>
        <w:t xml:space="preserve">Покупателя обо всех случаях отклонения действий специалистов Покупателя от проекта и нормативно-технической документации, а также невыполнения рекомендаций шефперсонала подрядными строительно-монтажными, наладочными организациями или персоналом Покупателя.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В случае болезни специалистов Поставщика в период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услуг, если это влияет на результаты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 по Договору, Поставщик обязан заменить больного специалиста другим специалистом той же квалификации.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При невыполнении технических требований Поставщика, Поставщик имеет право потребовать от Покупателя прекращения оказания услуг и (или), при необходимости, выполнение ревизии товара.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6.8. Покупатель несет ответственность и обеспечивает: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Готовность товара для выполнения обязательств Поставщика по Договору и полный доступ шефперсонала Поставщика на любой участок в месте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 Покупателя, если это необходимо Поставщику для выполнения им своих обязательств по Договору.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Выполнение условий и требований технической документации Поставщика, поставляемой вместе с товаром, по хранению, монтажу, наладке, испытаниям и эксплуатации поставляемого Поставщиком товара.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Создание условий, гарантирующих безопасность в месте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 в соответствии с действующими правилами и СНиП, а также противопожарную безопасность.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- Правильность обслуживания товара персоналом Покупателя в процессе его монтажа, наладки, комплексного опробования и эксплуатации, согласно переданной ему Поставщиком технической документации.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6.9. Поставщик не несет ответственности за услуги, оказанные Покупателем без согласования с Поставщиком и его присутствия.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6.10. Для оперативного решения и координации всех, возникающих в ходе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 организационно-технических вопросов, Покупатель и Поставщик назначают ответственных представителей, уполномоченных подписывать необходимую документацию в пределах полномочий по Договору.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</w:pPr>
      <w:r>
        <w:rPr>
          <w:sz w:val="24"/>
          <w:szCs w:val="24"/>
        </w:rPr>
        <w:t xml:space="preserve">6.11. В случае возникновения необходимости увеличения срока оказания </w:t>
      </w:r>
      <w:r>
        <w:rPr>
          <w:sz w:val="24"/>
          <w:szCs w:val="24"/>
        </w:rPr>
        <w:t xml:space="preserve">шефмонтажных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 и их переноса, размер и порядок расчетов за дополнительные </w:t>
      </w:r>
      <w:r>
        <w:rPr>
          <w:sz w:val="24"/>
          <w:szCs w:val="24"/>
        </w:rPr>
        <w:t xml:space="preserve">шефмонтажные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шефналадочных</w:t>
      </w:r>
      <w:r>
        <w:rPr>
          <w:sz w:val="24"/>
          <w:szCs w:val="24"/>
        </w:rPr>
        <w:t xml:space="preserve"> услуги будет производиться в соответствии с условиями дополнительного соглашения, подписанного Сторонами. </w:t>
      </w:r>
      <w:r/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6.12. Все подрядные услуги по монтажу, наладке, испытаниям и вводу оборудования в эксплуатацию, не входящие в предмет настоящего Договора, оказываются силами и средствами Покупателя за его счет, согласно требо</w:t>
      </w:r>
      <w:r>
        <w:rPr>
          <w:sz w:val="24"/>
          <w:szCs w:val="24"/>
        </w:rPr>
        <w:t xml:space="preserve">ваниям документации Поставщика (Завода изготовителя). Услуги должна оказывать специализированная организация, имеющая необходимое количество квалифицированного персонала, с опытом выполнения услуг, а также разрешение на право осуществления монтажных услуг.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956" w:firstLine="708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left="4956" w:hanging="4956"/>
        <w:jc w:val="center"/>
        <w:shd w:val="clear" w:color="auto" w:fill="ffffff"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7. Ответственность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7.1. Неустойка и / или иные штрафные санкции за неисполнение (ненадлежащее исполнение) Покупателем обязательств по внесению предварительной оплаты (аванса) не устанавливаются.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7.2. В сл</w:t>
      </w:r>
      <w:r>
        <w:rPr>
          <w:sz w:val="24"/>
          <w:szCs w:val="24"/>
          <w:highlight w:val="white"/>
        </w:rPr>
        <w:t xml:space="preserve">учае нарушения Поставщиком обязательств по поставке партии Товара (нарушение срока поставки, недопоставка), Покупатель вправе потребовать уплаты Поставщиком: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19"/>
        </w:numPr>
        <w:ind w:left="0" w:right="0" w:firstLine="349"/>
        <w:jc w:val="both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неустойки в размере 0,1 (ноль целых и одна десятая) процента от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ц</w:t>
      </w:r>
      <w:r>
        <w:rPr>
          <w:sz w:val="24"/>
          <w:szCs w:val="24"/>
          <w:highlight w:val="white"/>
        </w:rPr>
        <w:t xml:space="preserve">е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ы</w:t>
      </w:r>
      <w:r>
        <w:rPr>
          <w:sz w:val="24"/>
          <w:szCs w:val="24"/>
          <w:highlight w:val="white"/>
        </w:rPr>
        <w:t xml:space="preserve"> несвоевременно поставленного (не поставленного) Товара грузополучателю за каждый день просрочки – в случае, когда нарушение не привело к изменению срока поставки Товара другому грузополучателю;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18"/>
        </w:numPr>
        <w:ind w:left="0" w:right="0" w:firstLine="349"/>
        <w:jc w:val="both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неустойки в размере 0,2 (ноль целых и две десятых) процента от цены несвоевременно поставленного (не поставленного) товара за каждый день просрочки – в случае, когда нарушение привело к изменению срока поставки Товара другому грузополучателю.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7.3. В случае несвоевременного устранения Поставщиком выявленных недостатков товара, Покупатель вправе потребовать уплаты Поставщиком неустойки в размере 0,1 (ноль целых и одна десятая) процента от стоимости Товара за каждый день просрочки.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7.4. В случае нарушения Поставщиком обязательств по оказанию </w:t>
      </w:r>
      <w:r>
        <w:rPr>
          <w:sz w:val="24"/>
          <w:szCs w:val="24"/>
          <w:highlight w:val="white"/>
        </w:rPr>
        <w:t xml:space="preserve">шефмонтажных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шефналадочных</w:t>
      </w:r>
      <w:r>
        <w:rPr>
          <w:sz w:val="24"/>
          <w:szCs w:val="24"/>
          <w:highlight w:val="white"/>
        </w:rPr>
        <w:t xml:space="preserve"> ус</w:t>
      </w:r>
      <w:r>
        <w:rPr>
          <w:sz w:val="24"/>
          <w:szCs w:val="24"/>
          <w:highlight w:val="white"/>
        </w:rPr>
        <w:t xml:space="preserve">луг, а также в случае несвоевременного устранения выявленных недостатков результатов оказанных услуг, Покупатель вправе потребовать уплаты Поставщиком неустойки в размере 0,1 (ноль целых и одна десятая) процента от стоимости услуг за каждый день просрочки.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7.5. На сумму подлежащего возврату аванса начисляется неустойка в размере 0,1 (ноль целых и одна десятая) процента с даты, установленной для возврата аванса.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7.6. В случае нарушения Поставщиком обязательств по поставке Товара, оказанию </w:t>
      </w:r>
      <w:r>
        <w:rPr>
          <w:sz w:val="24"/>
          <w:szCs w:val="24"/>
          <w:highlight w:val="white"/>
        </w:rPr>
        <w:t xml:space="preserve">шефмонтажных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шефналадочных</w:t>
      </w:r>
      <w:r>
        <w:rPr>
          <w:sz w:val="24"/>
          <w:szCs w:val="24"/>
          <w:highlight w:val="white"/>
        </w:rPr>
        <w:t xml:space="preserve"> услуг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7.7. В случае нарушения Покупателем сроков оплаты поставленного Товара, результатов выполненных </w:t>
      </w:r>
      <w:r>
        <w:rPr>
          <w:sz w:val="24"/>
          <w:szCs w:val="24"/>
          <w:highlight w:val="white"/>
        </w:rPr>
        <w:t xml:space="preserve">шефмонтажных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шефналадочных</w:t>
      </w:r>
      <w:r>
        <w:rPr>
          <w:sz w:val="24"/>
          <w:szCs w:val="24"/>
          <w:highlight w:val="white"/>
        </w:rPr>
        <w:t xml:space="preserve"> услуг, Поставщик вправе потребовать уплаты Поку</w:t>
      </w:r>
      <w:r>
        <w:rPr>
          <w:sz w:val="24"/>
          <w:szCs w:val="24"/>
          <w:highlight w:val="white"/>
        </w:rPr>
        <w:t xml:space="preserve">пателем исключительной неустойки в размере 0,1 (ноль целых и одна десятая) процента от несвоевременно оплаченной суммы за каждый день просрочки.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7.8. Если в результате составления и выставления Поставщиком счетов-фактур (УПД) с нарушением порядка и тр</w:t>
      </w:r>
      <w:r>
        <w:rPr>
          <w:sz w:val="24"/>
          <w:szCs w:val="24"/>
          <w:highlight w:val="white"/>
        </w:rPr>
        <w:t xml:space="preserve">ебований, установленных законодательством Российской Федерации, Покупатель понес расходы, связанные с начислением налоговыми органами по такому основанию сумм НДС, пеней и налоговых санкций, Поставщик обязан компенсировать Покупателю сумму таких расходов.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Сумма расходов компенсируется Поставщиком в течение 10 (десяти) рабочих дней с даты получения соответствующего письменного требования Покупателя.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highlight w:val="white"/>
        </w:rPr>
      </w:pPr>
      <w:r>
        <w:rPr>
          <w:sz w:val="24"/>
          <w:szCs w:val="24"/>
          <w:highlight w:val="white"/>
        </w:rPr>
        <w:t xml:space="preserve">В случае нарушения Поставщиком сроков, предусмотренных пунктом 4.1.7. настоящего Договора, Покупатель также имеет право требовать от Поставщика уплаты штрафа в размере 50 000 (пятидесяти тысяч) рублей за каждый случай нарушения.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7.9. В случае поступления Товара несоответствующей сведениям о стране происхождения Товара, согласованной в договоре, Покупатель вправе взыскать с Поставщика штраф в размере 10% от стоимости поставленного Товара несоответствующей сведениям.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7.10. За неисполнение или ненадлежащее исполнение обязательств по Договору Стороны несут ответственность в соответствии с законодательством Российской Ф</w:t>
      </w:r>
      <w:r>
        <w:rPr>
          <w:sz w:val="24"/>
          <w:szCs w:val="24"/>
          <w:highlight w:val="white"/>
        </w:rPr>
        <w:t xml:space="preserve">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7.11. Обязанность по уплате неустойки и/ или штрафов, возмещения убытков, предусмотренных Договором, возникает у любой и</w:t>
      </w:r>
      <w:r>
        <w:rPr>
          <w:bCs/>
          <w:sz w:val="24"/>
          <w:szCs w:val="24"/>
          <w:highlight w:val="white"/>
        </w:rPr>
        <w:t xml:space="preserve">з Сторон только при условии получения письменного требования другой Стороны.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7.12. 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7.13. Учитывая, что для Покупателя надлежащее и своевременное выполнение Поставщико</w:t>
      </w:r>
      <w:r>
        <w:rPr>
          <w:bCs/>
          <w:sz w:val="24"/>
          <w:szCs w:val="24"/>
          <w:highlight w:val="white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Поставщиком соответствующих обязательств по Договору.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7.14. 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  <w:highlight w:val="white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  <w:highlight w:val="white"/>
        </w:rPr>
        <w:br/>
        <w:t xml:space="preserve">в письменном требовании,</w:t>
      </w:r>
      <w:r>
        <w:rPr>
          <w:sz w:val="24"/>
          <w:szCs w:val="24"/>
          <w:highlight w:val="white"/>
        </w:rPr>
        <w:t xml:space="preserve"> </w:t>
      </w:r>
      <w:r>
        <w:rPr>
          <w:bCs/>
          <w:sz w:val="24"/>
          <w:szCs w:val="24"/>
          <w:highlight w:val="white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7.15. За непредставление либо несвоевременное предоставление / переоформление Поставщиком банковской гарантии, предусмотренных Договором, в соответствии с Приложениями № 5, 6 к настоящему Договору, Покупатель  вправе потребовать уплаты </w:t>
      </w:r>
      <w:r>
        <w:rPr>
          <w:sz w:val="24"/>
          <w:szCs w:val="24"/>
          <w:highlight w:val="white"/>
        </w:rPr>
        <w:t xml:space="preserve">Поставщиком неустойки в размере 0,03 (ноль целых и три сотых) процента от цены Договора за каждый день просрочки.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both"/>
        <w:shd w:val="clear" w:color="auto" w:fill="ffffff"/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8.1. 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8.2. 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8.3.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4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8.4.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8.5.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8.6. 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8.7. 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left="709"/>
        <w:jc w:val="both"/>
        <w:shd w:val="clear" w:color="auto" w:fill="ffffff"/>
        <w:widowControl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8.7.1. Электронная почта: </w:t>
      </w:r>
      <w:hyperlink w:history="1">
        <w:r>
          <w:rPr>
            <w:rStyle w:val="1043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8.7.2.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8.7.3. 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9. 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9.1. Стороны освобождаются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</w:t>
      </w:r>
      <w:r>
        <w:rPr>
          <w:bCs/>
          <w:sz w:val="24"/>
          <w:szCs w:val="24"/>
        </w:rPr>
        <w:t xml:space="preserve">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9.2. 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9.3. 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9.4. Надлежащим (достаточным) доказательством наличия/ возникновения и про</w:t>
      </w:r>
      <w:r>
        <w:rPr>
          <w:bCs/>
          <w:sz w:val="24"/>
          <w:szCs w:val="24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9.5. 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9.6. 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10. 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10.1. 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10.2. 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</w:t>
      </w:r>
      <w:r>
        <w:rPr>
          <w:bCs/>
          <w:sz w:val="24"/>
          <w:szCs w:val="24"/>
        </w:rPr>
        <w:t xml:space="preserve">указанных в пункте 10.1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10.3. В случае</w:t>
      </w:r>
      <w:r>
        <w:rPr>
          <w:bCs/>
          <w:sz w:val="24"/>
          <w:szCs w:val="24"/>
        </w:rPr>
        <w:t xml:space="preserve"> нарушения Поставщиком обязательств, установленных пунктами 10.1, 10.2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 w:val="24"/>
          <w:szCs w:val="24"/>
        </w:rPr>
        <w:t xml:space="preserve">ого</w:t>
      </w:r>
      <w:r>
        <w:rPr>
          <w:bCs/>
          <w:sz w:val="24"/>
          <w:szCs w:val="24"/>
        </w:rPr>
        <w:t xml:space="preserve">вора (исполнения Договора) с указанием даты прекращения (расторжения) Договора, которая должна наступать не ранее 10 (десяти) рабочих дней с даты получения Поставщиком такого уведомления. Договор считается прекращенным (расторгнутым) с даты, указанной в ув</w:t>
      </w:r>
      <w:r>
        <w:rPr>
          <w:bCs/>
          <w:sz w:val="24"/>
          <w:szCs w:val="24"/>
        </w:rPr>
        <w:t xml:space="preserve">едомлении об отказе от Договора (исполнения Договора)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10.4. Поставщик обязан уплатить Покупателю </w:t>
      </w:r>
      <w:r>
        <w:rPr>
          <w:bCs/>
          <w:sz w:val="24"/>
          <w:szCs w:val="24"/>
        </w:rPr>
        <w:t xml:space="preserve">штраф в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10.1, 10.2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10.5. Штраф, предусмотренный пунктом 10.4 Договора, оплачивается Поставщиком в течение 10 (десяти) рабочих дн</w:t>
      </w:r>
      <w:r>
        <w:rPr>
          <w:bCs/>
          <w:sz w:val="24"/>
          <w:szCs w:val="24"/>
        </w:rPr>
        <w:t xml:space="preserve">ей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уведомления об отказе от Договора (исполнения Договора), предусмотренного пунктом 10.3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10.6. Покупатель вправе приостановить осуществление любых платежей по Договору, причитающи</w:t>
      </w:r>
      <w:r>
        <w:rPr>
          <w:bCs/>
          <w:sz w:val="24"/>
          <w:szCs w:val="24"/>
        </w:rPr>
        <w:t xml:space="preserve">хся Поставщику, независимо от наличия оснований и наступления сроков таких платежей, до уплаты Поставщиком штрафа, предусмотренного пунктом 10.4 Договора. При этом Покупатель не будет считаться просрочившим и/ 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10.7. Независимо от других положений Договора, положения пунктов 10.4, 10.5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11. 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11.1. 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8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лицом/ </w:t>
      </w:r>
      <w:r>
        <w:rPr>
          <w:sz w:val="24"/>
          <w:szCs w:val="24"/>
          <w:highlight w:val="white"/>
        </w:rPr>
        <w:t xml:space="preserve">индивидуальным предпринимателем</w:t>
      </w:r>
      <w:r>
        <w:rPr>
          <w:sz w:val="24"/>
          <w:szCs w:val="24"/>
          <w:highlight w:val="white"/>
        </w:rPr>
        <w:t xml:space="preserve">, </w:t>
      </w:r>
      <w:r>
        <w:rPr>
          <w:sz w:val="24"/>
          <w:szCs w:val="24"/>
        </w:rPr>
        <w:t xml:space="preserve">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8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8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 xml:space="preserve">и иных лиц, необходимые для заключения и исполнения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8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8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она располагает ресурсами, необходимыми и достаточными для своевременного и </w:t>
      </w:r>
      <w:r>
        <w:rPr>
          <w:sz w:val="24"/>
          <w:szCs w:val="24"/>
          <w:highlight w:val="white"/>
        </w:rPr>
        <w:t xml:space="preserve">надлежащего исполнения обязательств, возникающих из Договора </w:t>
      </w:r>
      <w:r>
        <w:rPr>
          <w:sz w:val="24"/>
          <w:szCs w:val="24"/>
          <w:highlight w:val="white"/>
        </w:rPr>
        <w:br/>
        <w:t xml:space="preserve">или в связи с ним.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11.2. Поставщик заявляет и заверяет Покупателя в том, что на момент заключения Договора: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9"/>
        </w:numPr>
        <w:ind w:left="0" w:firstLine="1058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учредителем/ учредителями Поставщика являются лица, не являющиеся массовыми учредителем/ учредителями;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9"/>
        </w:numPr>
        <w:ind w:left="0" w:firstLine="1058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руководителем Поставщика является лицо, не являющееся массовым руководителем;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9"/>
        </w:numPr>
        <w:ind w:left="0" w:firstLine="1058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фактически находится по адресу, указанному в Едином государственном реестре юридических лиц;</w:t>
      </w:r>
      <w:r>
        <w:rPr>
          <w:rStyle w:val="1034"/>
          <w:sz w:val="24"/>
          <w:szCs w:val="24"/>
          <w:highlight w:val="white"/>
        </w:rPr>
        <w:footnoteReference w:id="3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9"/>
        </w:numPr>
        <w:ind w:left="0" w:firstLine="1058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Поставщик своевременно и в полном объеме уплачивает налоги и сборы </w:t>
      </w:r>
      <w:r>
        <w:rPr>
          <w:sz w:val="24"/>
          <w:szCs w:val="24"/>
          <w:highlight w:val="white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9"/>
        </w:numPr>
        <w:ind w:left="0" w:firstLine="1058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Поставщик не находится в процедуре несостоятельности (банкротства) </w:t>
      </w:r>
      <w:r>
        <w:rPr>
          <w:sz w:val="24"/>
          <w:szCs w:val="24"/>
          <w:highlight w:val="white"/>
        </w:rPr>
        <w:br/>
        <w:t xml:space="preserve">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</w:t>
      </w:r>
      <w:r>
        <w:rPr>
          <w:sz w:val="24"/>
          <w:szCs w:val="24"/>
        </w:rPr>
        <w:t xml:space="preserve">ной власти и должностных лиц, иные обстоятельства способные повлиять на возможность Поставщика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9"/>
        </w:numPr>
        <w:ind w:left="0" w:firstLine="1058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Товара, полностью ознакомлен со всеми условиями поставки Товара,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9"/>
        </w:numPr>
        <w:ind w:left="0" w:firstLine="1058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numPr>
          <w:ilvl w:val="0"/>
          <w:numId w:val="9"/>
        </w:numPr>
        <w:ind w:left="0" w:firstLine="1058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вся информация, предоставленная Покупателю, является достоверной, полной </w:t>
      </w:r>
      <w:r>
        <w:rPr>
          <w:sz w:val="24"/>
          <w:szCs w:val="24"/>
        </w:rPr>
        <w:br/>
        <w:t xml:space="preserve">и точной, и Поставщик 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Покупателя заключить Договор на указанных в нем условиях.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11.3. 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11.4. В случае,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Покупателю недостоверные заверения о любом из указанных в настоящем разделе Договора обстоятельств, 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Покупателя уплатить последнему штраф в размере 5 (пяти) процентов от Цены Договора, указанной в пункте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11.5. Недостоверность, неточность или неполнота любых указанных в настоящем разделе Договора 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12. 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rPr>
          <w:sz w:val="24"/>
          <w:szCs w:val="24"/>
        </w:rPr>
      </w:pPr>
      <w:r>
        <w:rPr>
          <w:sz w:val="24"/>
          <w:szCs w:val="24"/>
        </w:rPr>
        <w:t xml:space="preserve">12.1. Договор может быть прекращен (расторгнут) по соглашению Сторон. Сторо</w:t>
      </w:r>
      <w:r>
        <w:rPr>
          <w:sz w:val="24"/>
          <w:szCs w:val="24"/>
        </w:rPr>
        <w:t xml:space="preserve">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rPr>
          <w:sz w:val="24"/>
          <w:szCs w:val="24"/>
        </w:rPr>
      </w:pPr>
      <w:r>
        <w:rPr>
          <w:sz w:val="24"/>
          <w:szCs w:val="24"/>
        </w:rPr>
        <w:t xml:space="preserve">12.2. 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</w:t>
      </w:r>
      <w:r>
        <w:rPr>
          <w:sz w:val="24"/>
          <w:szCs w:val="24"/>
        </w:rPr>
        <w:t xml:space="preserve">за 30 (тридцать) календарных дней до предполагаемой даты расторжения Договора. 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rPr>
          <w:highlight w:val="white"/>
        </w:rPr>
      </w:pPr>
      <w:r>
        <w:rPr>
          <w:sz w:val="24"/>
          <w:szCs w:val="24"/>
          <w:highlight w:val="white"/>
        </w:rPr>
        <w:t xml:space="preserve">12.3. В случае существенного нарушения Договора Поставщиком Покупатель вправе в одностороннем внесудебном порядке отказаться от Договора. </w:t>
      </w:r>
      <w:r>
        <w:rPr>
          <w:highlight w:val="white"/>
        </w:rPr>
      </w:r>
      <w:r>
        <w:rPr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Стороны установили, что существенным нарушением Договора Поставщиком является: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10"/>
        </w:numPr>
        <w:ind w:left="0" w:firstLine="1058"/>
        <w:jc w:val="both"/>
        <w:shd w:val="clear" w:color="auto" w:fill="ffffff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нарушение Поставщиком общего срока поставки Товара по Договору, а также  сроков поставки Товара (партий Товара) по заявке, более чем на 60 (шестьдесят) календарных дней по причинам, не зависящим от Покупателя;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10"/>
        </w:numPr>
        <w:ind w:left="0" w:firstLine="1058"/>
        <w:jc w:val="both"/>
        <w:shd w:val="clear" w:color="auto" w:fill="ffffff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несоблюдение</w:t>
      </w:r>
      <w:r>
        <w:rPr>
          <w:sz w:val="24"/>
          <w:szCs w:val="24"/>
          <w:highlight w:val="white"/>
        </w:rPr>
        <w:t xml:space="preserve">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60 (шестьдесят) календарных дней, либо такие недостатки (дефекты) являются неустранимыми;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10"/>
        </w:numPr>
        <w:ind w:left="0" w:firstLine="1058"/>
        <w:jc w:val="both"/>
        <w:shd w:val="clear" w:color="auto" w:fill="ffffff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наложение ареста на имущество Поставщика, введение арбитражным судом процедуры несостоятельности (банкротства) в отношении Поставщика;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numPr>
          <w:ilvl w:val="0"/>
          <w:numId w:val="10"/>
        </w:numPr>
        <w:ind w:left="0" w:firstLine="1058"/>
        <w:jc w:val="both"/>
        <w:shd w:val="clear" w:color="auto" w:fill="ffffff"/>
        <w:widowControl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установление в ходе исполнения Договора фактов несоответствия Поставщика установленным документацией о закупке требованиям к участникам закупки и/ или предоставлени</w:t>
      </w:r>
      <w:r>
        <w:rPr>
          <w:sz w:val="24"/>
          <w:szCs w:val="24"/>
          <w:highlight w:val="white"/>
        </w:rPr>
        <w:t xml:space="preserve">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11 Договора, и имеющих существенное значение для его заключения и исполнения.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47"/>
        <w:ind w:firstLine="709"/>
        <w:jc w:val="both"/>
        <w:spacing w:before="0" w:beforeAutospacing="0" w:after="0" w:afterAutospacing="0"/>
        <w:rPr>
          <w:highlight w:val="white"/>
        </w:rPr>
      </w:pPr>
      <w:r>
        <w:rPr>
          <w:highlight w:val="white"/>
        </w:rPr>
        <w:t xml:space="preserve">12.4. В сл</w:t>
      </w:r>
      <w:r>
        <w:rPr>
          <w:highlight w:val="white"/>
        </w:rPr>
        <w:t xml:space="preserve">учае отказа Покупателя от Договора в случаях, предусмотренных пунктами 12.2, 12.3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>
        <w:rPr>
          <w:highlight w:val="white"/>
        </w:rPr>
      </w:r>
      <w:r>
        <w:rPr>
          <w:highlight w:val="white"/>
        </w:rPr>
      </w:r>
    </w:p>
    <w:p>
      <w:pPr>
        <w:pStyle w:val="1047"/>
        <w:ind w:firstLine="709"/>
        <w:jc w:val="both"/>
        <w:spacing w:before="0" w:beforeAutospacing="0" w:after="0" w:afterAutospacing="0"/>
      </w:pPr>
      <w:r>
        <w:t xml:space="preserve">12.5. С даты прекращения (расторжения) Договора Поставщик обязан прекратить поставку Товара.</w:t>
      </w:r>
      <w:r/>
    </w:p>
    <w:p>
      <w:pPr>
        <w:pStyle w:val="1047"/>
        <w:ind w:firstLine="709"/>
        <w:jc w:val="both"/>
        <w:spacing w:before="0" w:beforeAutospacing="0" w:after="0" w:afterAutospacing="0"/>
      </w:pPr>
      <w:r>
        <w:t xml:space="preserve">12.6. При прекращении (расторжении) Договора по основаниям, указанным </w:t>
      </w:r>
      <w:r>
        <w:br/>
        <w:t xml:space="preserve">в настоящем разделе Договора, все обязательства Сторон по Договору считаются прекратившимися, за и</w:t>
      </w:r>
      <w:r>
        <w:t xml:space="preserve">сключением обязательств по незавершенным расчетам, гарантийным обязательствам Поставщика в соответствии с разделом 5 Договора, а также обязательств Поставщика по оплате неустойки, штрафов, возмещению убытков в случаях и размерах, предусмотренных Договором.</w:t>
      </w:r>
      <w:r/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13. 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13.1. Все споры, разногласия и требования, возникающие между Сторонами 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13.2. Споры, указанные в пункте 13.1 Договора, которые не были урегулированы Сторонами путем переговоров, подлежат разрешению в Арбитражном суде Хабаровского края в соответствии с законодательством Российской Федерации.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13.3. Сторонами применяется обязательный </w:t>
      </w:r>
      <w:r>
        <w:rPr>
          <w:bCs/>
          <w:sz w:val="24"/>
          <w:szCs w:val="24"/>
        </w:rPr>
        <w:t xml:space="preserve">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14.7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13.4. Срок для рассмотрения претензии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13.5. 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14. 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14.1. Договор вступает в силу с даты его подписания Сторонами и действует по 31.12.2027, а в части не исполненных обязательств - до полного их исполнения 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14.2. 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</w:t>
      </w:r>
      <w:r>
        <w:rPr>
          <w:sz w:val="24"/>
          <w:szCs w:val="24"/>
        </w:rPr>
        <w:t xml:space="preserve">представителями Сторона, за исключением случаев изменения реквизитов Сторон, предусмотренных пунктом 14.6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14.3 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14.4. В случае наличия любых расхождений между содержанием Договора 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14.5. 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</w:t>
      </w:r>
      <w:r>
        <w:rPr>
          <w:sz w:val="24"/>
          <w:szCs w:val="24"/>
        </w:rPr>
        <w:t xml:space="preserve">ном пунктом 14.7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14.6. </w:t>
      </w:r>
      <w:bookmarkStart w:id="3" w:name="undefined"/>
      <w:r>
        <w:rPr>
          <w:sz w:val="24"/>
          <w:szCs w:val="24"/>
        </w:rPr>
        <w:t xml:space="preserve">Стороны обязуются уведомлять друг друга об изменении адреса и/ или реквизитов, указанных в разделе 15 Договора, не позднее 3 (трех) рабочих дней после такого изменения в порядке, установленном пунктом 14.7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14.7. Письма, уведомления и/ или сообщения направляются Стороне-получателю следующими способами: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tabs>
          <w:tab w:val="num" w:pos="156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14.7.1. Заказным почтовым отправлением с уведомлением о вручении </w:t>
      </w:r>
      <w:r>
        <w:rPr>
          <w:sz w:val="24"/>
          <w:szCs w:val="24"/>
          <w:highlight w:val="white"/>
        </w:rPr>
        <w:t xml:space="preserve">по адресу ее места нахождения/ почтовому адресу, указанному в разделе 16 Договора, или в ранее полученном уведомлении Стороны об изменении адреса </w:t>
      </w:r>
      <w:r>
        <w:rPr>
          <w:bCs/>
          <w:sz w:val="24"/>
          <w:szCs w:val="24"/>
          <w:highlight w:val="white"/>
        </w:rPr>
        <w:t xml:space="preserve">– </w:t>
      </w:r>
      <w:r>
        <w:rPr>
          <w:sz w:val="24"/>
          <w:szCs w:val="24"/>
          <w:highlight w:val="whit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адресу;</w:t>
      </w:r>
      <w:bookmarkEnd w:id="3"/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tabs>
          <w:tab w:val="num" w:pos="156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14.7.2. Доставкой лично или курьером Стороны-отправителя </w:t>
      </w:r>
      <w:r>
        <w:rPr>
          <w:sz w:val="24"/>
          <w:szCs w:val="24"/>
          <w:highlight w:val="white"/>
        </w:rPr>
        <w:t xml:space="preserve">по адресу ее места нахождения/ почтовому адресу, указанному в разделе 16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white"/>
        </w:rPr>
        <w:t xml:space="preserve"> – в дату и время фактического приема уведомления Стороной-получателем с отметкой о получении;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tabs>
          <w:tab w:val="num" w:pos="1560" w:leader="none"/>
        </w:tabs>
        <w:rPr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14.7.3. Посредством электронной почты (</w:t>
      </w:r>
      <w:r>
        <w:rPr>
          <w:bCs/>
          <w:sz w:val="24"/>
          <w:szCs w:val="24"/>
          <w:highlight w:val="white"/>
          <w:lang w:val="en-US"/>
        </w:rPr>
        <w:t xml:space="preserve">e</w:t>
      </w:r>
      <w:r>
        <w:rPr>
          <w:bCs/>
          <w:sz w:val="24"/>
          <w:szCs w:val="24"/>
          <w:highlight w:val="white"/>
        </w:rPr>
        <w:t xml:space="preserve">-</w:t>
      </w:r>
      <w:r>
        <w:rPr>
          <w:bCs/>
          <w:sz w:val="24"/>
          <w:szCs w:val="24"/>
          <w:highlight w:val="white"/>
          <w:lang w:val="en-US"/>
        </w:rPr>
        <w:t xml:space="preserve">mail</w:t>
      </w:r>
      <w:r>
        <w:rPr>
          <w:bCs/>
          <w:sz w:val="24"/>
          <w:szCs w:val="24"/>
          <w:highlight w:val="white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  <w:highlight w:val="white"/>
        </w:rPr>
      </w:pPr>
      <w:r>
        <w:rPr>
          <w:bCs/>
          <w:sz w:val="24"/>
          <w:szCs w:val="24"/>
          <w:highlight w:val="white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14.7.1 – 14.7.2 Договора. </w:t>
      </w:r>
      <w:r>
        <w:rPr>
          <w:bCs/>
          <w:sz w:val="24"/>
          <w:szCs w:val="24"/>
          <w:highlight w:val="white"/>
        </w:rPr>
      </w:r>
      <w:r>
        <w:rPr>
          <w:bCs/>
          <w:sz w:val="24"/>
          <w:szCs w:val="24"/>
          <w:highlight w:val="white"/>
        </w:rPr>
      </w:r>
    </w:p>
    <w:p>
      <w:pPr>
        <w:ind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14.8. 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14.9. Уступка, передача в залог прав (требований), принадлежащих Поставщику на основании Договора, допускается только с предварительного письменного согласия Покупателя.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14.10. 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</w:t>
      </w:r>
      <w:r>
        <w:rPr>
          <w:bCs/>
          <w:sz w:val="24"/>
          <w:szCs w:val="24"/>
        </w:rPr>
        <w:t xml:space="preserve">рота (аккредитованных ФНС РФ),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</w:t>
      </w:r>
      <w:r>
        <w:rPr>
          <w:bCs/>
          <w:sz w:val="24"/>
          <w:szCs w:val="24"/>
        </w:rPr>
        <w:t xml:space="preserve">web</w:t>
      </w:r>
      <w:r>
        <w:rPr>
          <w:bCs/>
          <w:sz w:val="24"/>
          <w:szCs w:val="24"/>
        </w:rPr>
        <w:t xml:space="preserve">-решения </w:t>
      </w:r>
      <w:r>
        <w:rPr>
          <w:bCs/>
          <w:sz w:val="24"/>
          <w:szCs w:val="24"/>
        </w:rPr>
        <w:t xml:space="preserve">Диадок</w:t>
      </w:r>
      <w:r>
        <w:rPr>
          <w:bCs/>
          <w:sz w:val="24"/>
          <w:szCs w:val="24"/>
        </w:rPr>
        <w:t xml:space="preserve"> (https://www.diadoc.ru/). В случае использования Поставщиком</w:t>
      </w:r>
      <w:r>
        <w:rPr>
          <w:bCs/>
          <w:sz w:val="24"/>
          <w:szCs w:val="24"/>
        </w:rPr>
        <w:t xml:space="preserve">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14.11. Во всем остальном, что не урегулировано Договором,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highlight w:val="white"/>
        </w:rPr>
      </w:pP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4.12. Договор составлен в 2 (двух) оригинальных экземплярах, имеющих равную юридическую силу, по 1 (одному) для каждой из Сторон. При согласии сторон и наличии технической возможности Договор заключается в электронной форме посредством Системы ЭДО-Контур. </w:t>
      </w:r>
      <w:r>
        <w:rPr>
          <w:sz w:val="24"/>
          <w:szCs w:val="24"/>
        </w:rPr>
        <w:t xml:space="preserve">Диадок</w:t>
      </w:r>
      <w:r>
        <w:rPr>
          <w:sz w:val="24"/>
          <w:szCs w:val="24"/>
        </w:rPr>
        <w:t xml:space="preserve"> система электронного юридически значимого документооборота (https://diadoc.kontur.ru)).</w:t>
      </w:r>
      <w:r>
        <w:rPr>
          <w:highlight w:val="white"/>
        </w:rPr>
      </w:r>
      <w:r>
        <w:rPr>
          <w:highlight w:val="white"/>
        </w:rPr>
      </w:r>
    </w:p>
    <w:p>
      <w:pPr>
        <w:pStyle w:val="1023"/>
        <w:ind w:left="0" w:firstLine="709"/>
        <w:jc w:val="both"/>
        <w:shd w:val="clear" w:color="auto" w:fill="ffffff"/>
        <w:widowControl/>
        <w:tabs>
          <w:tab w:val="left" w:pos="0" w:leader="none"/>
          <w:tab w:val="left" w:pos="1418" w:leader="none"/>
        </w:tabs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p>
      <w:pPr>
        <w:contextualSpacing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15. Список приложений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 </w:t>
      </w:r>
      <w:r>
        <w:rPr>
          <w:sz w:val="24"/>
          <w:szCs w:val="24"/>
        </w:rPr>
        <w:t xml:space="preserve">– </w:t>
      </w:r>
      <w:r>
        <w:rPr>
          <w:rFonts w:eastAsia="Calibri"/>
          <w:sz w:val="24"/>
          <w:szCs w:val="24"/>
          <w:lang w:eastAsia="en-US"/>
        </w:rPr>
        <w:t xml:space="preserve">Спецификация;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</w:pPr>
      <w:r>
        <w:rPr>
          <w:sz w:val="24"/>
          <w:szCs w:val="24"/>
        </w:rPr>
        <w:t xml:space="preserve">Приложение № 2 – Расчет стоимости услуг</w:t>
      </w:r>
      <w:r>
        <w:t xml:space="preserve">;</w:t>
      </w:r>
      <w:r/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</w:pPr>
      <w:r>
        <w:rPr>
          <w:sz w:val="24"/>
          <w:szCs w:val="24"/>
        </w:rPr>
        <w:t xml:space="preserve">Приложение № 3 – Форма акта об оказании услуг</w:t>
      </w:r>
      <w:r>
        <w:t xml:space="preserve">;</w:t>
      </w:r>
      <w:r/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</w:pPr>
      <w:r>
        <w:rPr>
          <w:sz w:val="24"/>
          <w:szCs w:val="24"/>
        </w:rPr>
        <w:t xml:space="preserve">Приложение № 4 – Условия банковской гарантии возврата авансового платежа</w:t>
      </w:r>
      <w:r>
        <w:t xml:space="preserve">;</w:t>
      </w:r>
      <w:r/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</w:pPr>
      <w:r>
        <w:rPr>
          <w:sz w:val="24"/>
          <w:szCs w:val="24"/>
        </w:rPr>
        <w:t xml:space="preserve">Приложение № 5 – Критерии отбора Банков-Гарантов</w:t>
      </w:r>
      <w:r>
        <w:t xml:space="preserve">;</w:t>
      </w:r>
      <w:r/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6 – Форма акта приемки-передачи банковской гарантии</w:t>
      </w:r>
      <w: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hd w:val="clear" w:color="auto" w:fill="ffffff"/>
        <w:widowControl/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  <w:t xml:space="preserve">16. Адреса и платежные реквизиты Сторон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p>
      <w:pPr>
        <w:pStyle w:val="1023"/>
        <w:ind w:left="0" w:firstLine="709"/>
        <w:shd w:val="clear" w:color="auto" w:fill="ffffff"/>
        <w:widowControl/>
        <w:tabs>
          <w:tab w:val="left" w:pos="426" w:leader="none"/>
        </w:tabs>
        <w:rPr>
          <w:b/>
          <w:bCs/>
          <w:sz w:val="24"/>
          <w:szCs w:val="24"/>
          <w:highlight w:val="white"/>
        </w:rPr>
      </w:pP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21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Покупатель: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5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Поставщик: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shd w:val="clear" w:color="ffffff" w:fill="bfbfbf"/>
            <w:tcW w:w="4928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АО «ДГК»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 680000, Хабаровский край,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г. Хабаровск, ул. Фрунзе, д.49.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1051401746769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1434031363/ КПП 272101001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КПП КН 997650001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 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sz w:val="24"/>
                <w:szCs w:val="24"/>
                <w:highlight w:val="white"/>
              </w:rPr>
              <w:t xml:space="preserve"> 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gridSpan w:val="2"/>
            <w:shd w:val="clear" w:color="ffffff" w:fill="bfbfbf"/>
            <w:tcW w:w="4853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(сокращенное наименование юридического лица)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Адрес: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 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расчетного счета)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(наименование банка, в котором открыт счет)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корреспондентского счета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(БИК банка)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_________________________________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(номер телефона)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________________________________________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highlight w:val="white"/>
              </w:rPr>
            </w:pPr>
            <w:r>
              <w:rPr>
                <w:highlight w:val="white"/>
              </w:rPr>
              <w:t xml:space="preserve">(адрес эл/почты)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gridSpan w:val="2"/>
            <w:tcW w:w="4960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shd w:val="clear" w:color="ffffff" w:themeColor="background1" w:fill="ffffff" w:themeFill="background1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_______________ / _______________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rPr>
          <w:rFonts w:eastAsia="Lucida Sans Unicode"/>
          <w:b/>
          <w:bCs/>
          <w:sz w:val="24"/>
          <w:szCs w:val="24"/>
        </w:rPr>
      </w:pPr>
      <w:r>
        <w:rPr>
          <w:rFonts w:eastAsia="Lucida Sans Unicode"/>
          <w:b/>
          <w:bCs/>
          <w:sz w:val="24"/>
          <w:szCs w:val="24"/>
        </w:rPr>
        <w:t xml:space="preserve">Приложение № 1</w:t>
      </w: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 w:val="24"/>
          <w:szCs w:val="24"/>
        </w:rPr>
      </w:r>
    </w:p>
    <w:p>
      <w:pPr>
        <w:jc w:val="right"/>
        <w:rPr>
          <w:sz w:val="22"/>
          <w:szCs w:val="22"/>
        </w:rPr>
      </w:pPr>
      <w:r>
        <w:rPr>
          <w:rFonts w:eastAsia="Lucida Sans Unicode"/>
          <w:b/>
          <w:bCs/>
          <w:sz w:val="24"/>
          <w:szCs w:val="24"/>
        </w:rPr>
        <w:t xml:space="preserve">к договору поставки № ______/81-__ от __________20__ г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4987" w:type="pct"/>
        <w:tblInd w:w="2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1276"/>
        <w:gridCol w:w="1417"/>
        <w:gridCol w:w="1195"/>
        <w:gridCol w:w="929"/>
        <w:gridCol w:w="550"/>
        <w:gridCol w:w="1012"/>
        <w:gridCol w:w="1276"/>
        <w:gridCol w:w="1275"/>
      </w:tblGrid>
      <w:tr>
        <w:tblPrEx/>
        <w:trPr>
          <w:trHeight w:val="54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" w:type="dxa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№п/п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Наименование Товара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  <w:highlight w:val="lightGray"/>
              </w:rPr>
            </w:pPr>
            <w:r>
              <w:rPr>
                <w:color w:val="000000"/>
                <w:sz w:val="22"/>
                <w:szCs w:val="22"/>
              </w:rPr>
              <w:t xml:space="preserve">Технические и функциональные характеристики Товара</w:t>
            </w:r>
            <w:r>
              <w:rPr>
                <w:color w:val="000000"/>
                <w:sz w:val="22"/>
                <w:szCs w:val="22"/>
                <w:highlight w:val="lightGray"/>
              </w:rPr>
            </w:r>
            <w:r>
              <w:rPr>
                <w:color w:val="000000"/>
                <w:sz w:val="22"/>
                <w:szCs w:val="22"/>
                <w:highlight w:val="lightGray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5" w:type="dxa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2"/>
                <w:szCs w:val="22"/>
                <w:highlight w:val="white"/>
              </w:rPr>
            </w:pP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Страна происхождения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/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п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р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о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и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з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в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о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д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и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т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е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л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  <w:t xml:space="preserve">ь</w:t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  <w:r>
              <w:rPr>
                <w:bCs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Единица измерения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Кол-во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Стоимость без НДС, руб.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Срок поставки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5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2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95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0" w:type="dxa"/>
            <w:vAlign w:val="center"/>
            <w:textDirection w:val="lrTb"/>
            <w:noWrap w:val="false"/>
          </w:tcPr>
          <w:p>
            <w:pPr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1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12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80"/>
        </w:trPr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1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 без НДС, руб.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73"/>
        </w:trPr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1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НДС (22%)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271"/>
        </w:trPr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61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none"/>
              </w:rPr>
              <w:t xml:space="preserve">Итого с НДС, руб.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Грузополучатели: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0"/>
        <w:widowControl/>
        <w:rPr>
          <w:rFonts w:eastAsia="Calibri"/>
          <w:b w:val="0"/>
          <w:bCs w:val="0"/>
          <w:sz w:val="24"/>
          <w:szCs w:val="24"/>
          <w:highlight w:val="none"/>
        </w:rPr>
      </w:pP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П.1 </w:t>
      </w:r>
      <w:r>
        <w:rPr>
          <w:rFonts w:eastAsia="Calibri"/>
          <w:b w:val="0"/>
          <w:bCs w:val="0"/>
          <w:sz w:val="24"/>
          <w:szCs w:val="24"/>
          <w:lang w:eastAsia="en-US"/>
        </w:rPr>
        <w:t xml:space="preserve">АО "ДГК" СП "Николаевская ТЭЦ", 682469, Хабаровский край, г.Николаевск-на-Амуре, ул.Невельского, 24, ИНН/КПП 1434031363/270532001</w:t>
      </w:r>
      <w:r>
        <w:rPr>
          <w:rFonts w:eastAsia="Calibri"/>
          <w:b w:val="0"/>
          <w:bCs w:val="0"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</w:r>
    </w:p>
    <w:p>
      <w:pPr>
        <w:ind w:firstLine="0"/>
        <w:widowControl/>
        <w:rPr>
          <w:rFonts w:eastAsia="Calibri"/>
          <w:b w:val="0"/>
          <w:bCs w:val="0"/>
          <w:sz w:val="24"/>
          <w:szCs w:val="24"/>
          <w:highlight w:val="none"/>
          <w:lang w:eastAsia="en-US"/>
        </w:rPr>
      </w:pP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П.2 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  <w:t xml:space="preserve">АО "ДГК" СП "Благовещенская ТЭЦ", 675007, Амурская область, г. Благовещенск, ул. Загородная, 177, ИНН/КПП 1434031363/ 280145003</w:t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</w: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</w:r>
    </w:p>
    <w:p>
      <w:pPr>
        <w:ind w:firstLine="0"/>
        <w:widowControl/>
        <w:rPr>
          <w:rFonts w:eastAsia="Calibri"/>
          <w:b w:val="0"/>
          <w:bCs w:val="0"/>
          <w:sz w:val="24"/>
          <w:szCs w:val="24"/>
        </w:rPr>
      </w:pPr>
      <w:r>
        <w:rPr>
          <w:rFonts w:eastAsia="Calibri"/>
          <w:b w:val="0"/>
          <w:bCs w:val="0"/>
          <w:sz w:val="24"/>
          <w:szCs w:val="24"/>
          <w:highlight w:val="none"/>
          <w:lang w:eastAsia="en-US"/>
        </w:rPr>
      </w:r>
      <w:r>
        <w:rPr>
          <w:rFonts w:eastAsia="Calibri"/>
          <w:b w:val="0"/>
          <w:bCs w:val="0"/>
          <w:sz w:val="24"/>
          <w:szCs w:val="24"/>
        </w:rPr>
      </w:r>
      <w:r>
        <w:rPr>
          <w:rFonts w:eastAsia="Calibri"/>
          <w:b w:val="0"/>
          <w:bCs w:val="0"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jc w:val="right"/>
        <w:rPr>
          <w:sz w:val="24"/>
          <w:szCs w:val="24"/>
        </w:rPr>
      </w:pPr>
      <w:r>
        <w:rPr>
          <w:rFonts w:eastAsia="Lucida Sans Unicode"/>
          <w:b/>
          <w:bCs/>
          <w:sz w:val="24"/>
          <w:szCs w:val="24"/>
        </w:rPr>
        <w:t xml:space="preserve">Приложение № 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rPr>
          <w:sz w:val="22"/>
          <w:szCs w:val="22"/>
        </w:rPr>
      </w:pPr>
      <w:r>
        <w:rPr>
          <w:rFonts w:eastAsia="Lucida Sans Unicode"/>
          <w:b/>
          <w:bCs/>
          <w:sz w:val="24"/>
          <w:szCs w:val="24"/>
        </w:rPr>
        <w:t xml:space="preserve">к договору поставки № ______/81-__ от __________20__ г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Расчет стоимости Услуг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  <w:t xml:space="preserve">ПОДПИСИ СТОРОН: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51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51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51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51"/>
              <w:spacing w:after="0"/>
            </w:pPr>
            <w:r>
              <w:t xml:space="preserve">________________ / </w:t>
            </w:r>
            <w:r/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</w:pPr>
            <w:r/>
            <w:r/>
          </w:p>
          <w:p>
            <w:pPr>
              <w:pStyle w:val="1051"/>
              <w:spacing w:after="0"/>
            </w:pPr>
            <w:r/>
            <w:r/>
          </w:p>
          <w:p>
            <w:pPr>
              <w:pStyle w:val="1051"/>
              <w:spacing w:after="0"/>
            </w:pPr>
            <w:r/>
            <w:r/>
          </w:p>
          <w:p>
            <w:pPr>
              <w:pStyle w:val="1051"/>
              <w:spacing w:after="0"/>
            </w:pPr>
            <w:r/>
            <w:r/>
          </w:p>
          <w:p>
            <w:pPr>
              <w:pStyle w:val="1051"/>
              <w:spacing w:after="0"/>
            </w:pPr>
            <w:r>
              <w:t xml:space="preserve">________________ / </w:t>
            </w:r>
            <w:r/>
          </w:p>
        </w:tc>
      </w:tr>
    </w:tbl>
    <w:p>
      <w:pPr>
        <w:ind w:firstLine="720"/>
        <w:jc w:val="right"/>
        <w:rPr>
          <w:rFonts w:eastAsia="Lucida Sans Unicode"/>
          <w:b/>
          <w:bCs/>
          <w:sz w:val="24"/>
          <w:szCs w:val="24"/>
        </w:rPr>
      </w:pP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 w:val="24"/>
          <w:szCs w:val="24"/>
        </w:rPr>
      </w:r>
    </w:p>
    <w:p>
      <w:pPr>
        <w:rPr>
          <w:rFonts w:eastAsia="Lucida Sans Unicode"/>
          <w:b/>
          <w:bCs/>
          <w:sz w:val="24"/>
          <w:szCs w:val="24"/>
        </w:rPr>
      </w:pPr>
      <w:r>
        <w:rPr>
          <w:rFonts w:eastAsia="Lucida Sans Unicode"/>
          <w:b/>
          <w:bCs/>
          <w:sz w:val="24"/>
          <w:szCs w:val="24"/>
        </w:rPr>
        <w:br w:type="page" w:clear="all"/>
      </w: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 w:val="24"/>
          <w:szCs w:val="24"/>
        </w:rPr>
      </w:r>
    </w:p>
    <w:p>
      <w:pPr>
        <w:ind w:firstLine="720"/>
        <w:jc w:val="right"/>
        <w:rPr>
          <w:rFonts w:eastAsia="Lucida Sans Unicode"/>
          <w:b/>
          <w:bCs/>
          <w:sz w:val="24"/>
          <w:szCs w:val="24"/>
        </w:rPr>
      </w:pPr>
      <w:r>
        <w:rPr>
          <w:rFonts w:eastAsia="Lucida Sans Unicode"/>
          <w:b/>
          <w:bCs/>
          <w:sz w:val="24"/>
          <w:szCs w:val="24"/>
        </w:rPr>
        <w:t xml:space="preserve">Приложение № 3</w:t>
      </w: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 w:val="24"/>
          <w:szCs w:val="24"/>
        </w:rPr>
      </w:r>
    </w:p>
    <w:p>
      <w:pPr>
        <w:ind w:firstLine="720"/>
        <w:jc w:val="right"/>
        <w:rPr>
          <w:rFonts w:eastAsia="Lucida Sans Unicode"/>
          <w:b/>
          <w:bCs/>
          <w:sz w:val="24"/>
          <w:szCs w:val="24"/>
        </w:rPr>
      </w:pPr>
      <w:r>
        <w:rPr>
          <w:rFonts w:eastAsia="Lucida Sans Unicode"/>
          <w:b/>
          <w:bCs/>
          <w:sz w:val="24"/>
          <w:szCs w:val="24"/>
        </w:rPr>
        <w:t xml:space="preserve">к договору поставки № ______/81-__ от __________20__ г.</w:t>
      </w: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 w:val="24"/>
          <w:szCs w:val="24"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  <w:t xml:space="preserve">Акт №____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  <w:t xml:space="preserve">сдачи-приемки оказанных услуг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  <w:t xml:space="preserve">(форма)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280" w:leader="none"/>
        </w:tabs>
      </w:pPr>
      <w:r/>
      <w:r/>
    </w:p>
    <w:p>
      <w:r>
        <w:rPr>
          <w:sz w:val="24"/>
          <w:szCs w:val="24"/>
        </w:rPr>
        <w:t xml:space="preserve">г. Хабаровск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«_____»_________202_ г.</w:t>
      </w:r>
      <w:r/>
    </w:p>
    <w:p>
      <w:r/>
      <w:r/>
    </w:p>
    <w:p>
      <w:r/>
      <w:r/>
    </w:p>
    <w:p>
      <w:pPr>
        <w:jc w:val="both"/>
      </w:pPr>
      <w:r>
        <w:rPr>
          <w:sz w:val="24"/>
          <w:szCs w:val="24"/>
        </w:rPr>
        <w:t xml:space="preserve">Мы, нижеподписавшиеся </w:t>
      </w:r>
      <w:r>
        <w:rPr>
          <w:b/>
          <w:bCs/>
          <w:sz w:val="24"/>
          <w:szCs w:val="24"/>
        </w:rPr>
        <w:t xml:space="preserve">__________________,</w:t>
      </w:r>
      <w:r>
        <w:rPr>
          <w:sz w:val="24"/>
          <w:szCs w:val="24"/>
        </w:rPr>
        <w:t xml:space="preserve"> именуемое в дальнейшем «Поставщик», в лице _______________ с одной стороны, и </w:t>
      </w:r>
      <w:r>
        <w:rPr>
          <w:b/>
          <w:sz w:val="24"/>
          <w:szCs w:val="24"/>
        </w:rPr>
        <w:t xml:space="preserve">____________</w:t>
      </w:r>
      <w:r>
        <w:rPr>
          <w:sz w:val="24"/>
          <w:szCs w:val="24"/>
        </w:rPr>
        <w:t xml:space="preserve">, именуемое в дальнейшем «Покупатель», в лице _________________ с другой стороны, составили настоящий Акт в том, что:</w:t>
      </w:r>
      <w:r/>
    </w:p>
    <w:p>
      <w:pPr>
        <w:numPr>
          <w:ilvl w:val="0"/>
          <w:numId w:val="4"/>
        </w:numPr>
        <w:jc w:val="both"/>
        <w:tabs>
          <w:tab w:val="left" w:pos="8820" w:leader="none"/>
        </w:tabs>
      </w:pPr>
      <w:r>
        <w:rPr>
          <w:sz w:val="24"/>
          <w:szCs w:val="24"/>
        </w:rPr>
        <w:t xml:space="preserve">В соответствии с условиями Договора №_______</w:t>
      </w:r>
      <w:r>
        <w:rPr>
          <w:sz w:val="24"/>
          <w:szCs w:val="24"/>
        </w:rPr>
        <w:t xml:space="preserve">от__________г</w:t>
      </w:r>
      <w:r>
        <w:rPr>
          <w:sz w:val="24"/>
          <w:szCs w:val="24"/>
        </w:rPr>
        <w:t xml:space="preserve">. Поставщик выполнил:</w:t>
      </w:r>
      <w:r/>
    </w:p>
    <w:p>
      <w:pPr>
        <w:pStyle w:val="1023"/>
        <w:ind w:left="3240"/>
        <w:jc w:val="both"/>
        <w:tabs>
          <w:tab w:val="left" w:pos="88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5"/>
        </w:numPr>
        <w:jc w:val="both"/>
      </w:pPr>
      <w:r>
        <w:rPr>
          <w:bCs/>
          <w:iCs/>
          <w:color w:val="000000"/>
          <w:sz w:val="24"/>
          <w:szCs w:val="24"/>
        </w:rPr>
        <w:t xml:space="preserve">_______________________________________________.</w:t>
      </w:r>
      <w:r/>
    </w:p>
    <w:p>
      <w:pPr>
        <w:jc w:val="both"/>
        <w:tabs>
          <w:tab w:val="num" w:pos="1843" w:leader="none"/>
          <w:tab w:val="left" w:pos="2268" w:leader="none"/>
        </w:tabs>
      </w:pPr>
      <w:r>
        <w:rPr>
          <w:bCs/>
          <w:iCs/>
          <w:color w:val="000000"/>
          <w:sz w:val="24"/>
          <w:szCs w:val="24"/>
        </w:rPr>
        <w:t xml:space="preserve">          </w:t>
      </w:r>
      <w:r/>
    </w:p>
    <w:p>
      <w:pPr>
        <w:numPr>
          <w:ilvl w:val="0"/>
          <w:numId w:val="4"/>
        </w:numPr>
        <w:jc w:val="both"/>
      </w:pPr>
      <w:r>
        <w:rPr>
          <w:sz w:val="24"/>
          <w:szCs w:val="24"/>
        </w:rPr>
        <w:t xml:space="preserve">В соответствии с п.1 настоящего Акта, Стороны согласились считать услуги полностью оказанными. Покупатель не имеет претензий к Поставщику по качеству и объему оказанных услуг.</w:t>
      </w:r>
      <w:r/>
    </w:p>
    <w:p>
      <w:pPr>
        <w:numPr>
          <w:ilvl w:val="0"/>
          <w:numId w:val="4"/>
        </w:numPr>
        <w:jc w:val="both"/>
      </w:pPr>
      <w:r>
        <w:rPr>
          <w:sz w:val="24"/>
          <w:szCs w:val="24"/>
        </w:rPr>
        <w:t xml:space="preserve">Стоимость услуг по перечисленным в п.1 услугам составляет </w:t>
      </w:r>
      <w:r>
        <w:rPr>
          <w:b/>
          <w:sz w:val="24"/>
          <w:szCs w:val="24"/>
        </w:rPr>
        <w:t xml:space="preserve">_________ руб. (________________ руб. __ коп.), </w:t>
      </w:r>
      <w:r>
        <w:rPr>
          <w:sz w:val="24"/>
          <w:szCs w:val="24"/>
        </w:rPr>
        <w:t xml:space="preserve">в том числе НДС 20% ____</w:t>
      </w:r>
      <w:r>
        <w:rPr>
          <w:sz w:val="24"/>
          <w:szCs w:val="24"/>
        </w:rPr>
        <w:t xml:space="preserve">руб</w:t>
      </w:r>
      <w:r>
        <w:rPr>
          <w:sz w:val="24"/>
          <w:szCs w:val="24"/>
        </w:rPr>
        <w:t xml:space="preserve">._____коп. </w:t>
      </w:r>
      <w:r/>
    </w:p>
    <w:p>
      <w:pPr>
        <w:numPr>
          <w:ilvl w:val="0"/>
          <w:numId w:val="4"/>
        </w:numPr>
        <w:jc w:val="both"/>
      </w:pPr>
      <w:r>
        <w:rPr>
          <w:sz w:val="24"/>
          <w:szCs w:val="24"/>
        </w:rPr>
        <w:t xml:space="preserve">Данный акт составлен в 2-х экземплярах.</w:t>
      </w:r>
      <w:r/>
    </w:p>
    <w:p>
      <w:r/>
      <w:r/>
    </w:p>
    <w:tbl>
      <w:tblPr>
        <w:tblW w:w="0" w:type="auto"/>
        <w:tblLook w:val="01E0" w:firstRow="1" w:lastRow="1" w:firstColumn="1" w:lastColumn="1" w:noHBand="0" w:noVBand="0"/>
      </w:tblPr>
      <w:tblGrid>
        <w:gridCol w:w="5114"/>
        <w:gridCol w:w="4518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ПОКУПАТЕЛЬ: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590" w:type="dxa"/>
            <w:textDirection w:val="lrTb"/>
            <w:noWrap w:val="false"/>
          </w:tcPr>
          <w:p>
            <w:pPr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tabs>
                <w:tab w:val="left" w:pos="3060" w:leader="underscor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tabs>
                <w:tab w:val="left" w:pos="3060" w:leader="underscore"/>
              </w:tabs>
            </w:pPr>
            <w:r/>
            <w:r/>
          </w:p>
          <w:p>
            <w:pPr>
              <w:pStyle w:val="1039"/>
              <w:tabs>
                <w:tab w:val="left" w:pos="3060" w:leader="underscore"/>
              </w:tabs>
            </w:pPr>
            <w:r>
              <w:rPr>
                <w:sz w:val="24"/>
                <w:szCs w:val="24"/>
              </w:rPr>
              <w:t xml:space="preserve">_____________________ </w:t>
            </w:r>
            <w:r/>
          </w:p>
        </w:tc>
        <w:tc>
          <w:tcPr>
            <w:tcW w:w="4590" w:type="dxa"/>
            <w:textDirection w:val="lrTb"/>
            <w:noWrap w:val="false"/>
          </w:tcPr>
          <w:p>
            <w:pPr>
              <w:tabs>
                <w:tab w:val="left" w:pos="3060" w:leader="underscore"/>
              </w:tabs>
            </w:pPr>
            <w:r/>
            <w:r/>
          </w:p>
          <w:p>
            <w:pPr>
              <w:tabs>
                <w:tab w:val="left" w:pos="3060" w:leader="underscore"/>
              </w:tabs>
            </w:pPr>
            <w:r>
              <w:rPr>
                <w:sz w:val="24"/>
                <w:szCs w:val="24"/>
              </w:rPr>
              <w:t xml:space="preserve">_____________________ </w:t>
            </w:r>
            <w:r/>
          </w:p>
        </w:tc>
      </w:tr>
    </w:tbl>
    <w:p>
      <w:r/>
      <w:r/>
    </w:p>
    <w:p>
      <w:pPr>
        <w:pStyle w:val="838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r/>
      <w:r/>
    </w:p>
    <w:p>
      <w:pPr>
        <w:pStyle w:val="838"/>
        <w:jc w:val="center"/>
        <w:spacing w:before="0" w:after="0"/>
        <w:rPr>
          <w:rFonts w:ascii="Times New Roman" w:hAnsi="Times New Roman" w:cs="Times New Roman"/>
          <w:bCs w:val="0"/>
          <w:i w:val="0"/>
          <w:sz w:val="24"/>
          <w:szCs w:val="24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</w:rPr>
        <w:t xml:space="preserve">ФОРМА СОГЛАСОВАНА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r/>
      <w:r/>
    </w:p>
    <w:p>
      <w:r/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/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51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51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51"/>
              <w:spacing w:after="0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1051"/>
              <w:spacing w:after="0"/>
            </w:pPr>
            <w:r>
              <w:t xml:space="preserve">________________ / </w:t>
            </w:r>
            <w:r/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</w:pPr>
            <w:r/>
            <w:r/>
          </w:p>
          <w:p>
            <w:pPr>
              <w:pStyle w:val="1051"/>
              <w:spacing w:after="0"/>
            </w:pPr>
            <w:r/>
            <w:r/>
          </w:p>
          <w:p>
            <w:pPr>
              <w:pStyle w:val="1051"/>
              <w:spacing w:after="0"/>
            </w:pPr>
            <w:r/>
            <w:r/>
          </w:p>
          <w:p>
            <w:pPr>
              <w:pStyle w:val="1051"/>
              <w:spacing w:after="0"/>
            </w:pPr>
            <w:r/>
            <w:r/>
          </w:p>
          <w:p>
            <w:pPr>
              <w:pStyle w:val="1051"/>
              <w:spacing w:after="0"/>
            </w:pPr>
            <w:r>
              <w:t xml:space="preserve">________________ / </w:t>
            </w:r>
            <w:r/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right"/>
        <w:rPr>
          <w:rFonts w:eastAsia="Lucida Sans Unicode"/>
          <w:b/>
          <w:bCs/>
          <w:sz w:val="24"/>
          <w:szCs w:val="24"/>
        </w:rPr>
      </w:pPr>
      <w:r>
        <w:rPr>
          <w:rFonts w:eastAsia="Lucida Sans Unicode"/>
          <w:b/>
          <w:bCs/>
          <w:sz w:val="24"/>
          <w:szCs w:val="24"/>
        </w:rPr>
        <w:t xml:space="preserve">Приложение № 4</w:t>
      </w: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 w:val="24"/>
          <w:szCs w:val="24"/>
        </w:rPr>
      </w:r>
    </w:p>
    <w:p>
      <w:pPr>
        <w:ind w:firstLine="720"/>
        <w:jc w:val="right"/>
        <w:rPr>
          <w:rFonts w:eastAsia="Lucida Sans Unicode"/>
          <w:b/>
          <w:bCs/>
          <w:sz w:val="24"/>
          <w:szCs w:val="24"/>
        </w:rPr>
      </w:pPr>
      <w:r>
        <w:rPr>
          <w:rFonts w:eastAsia="Lucida Sans Unicode"/>
          <w:b/>
          <w:bCs/>
          <w:sz w:val="24"/>
          <w:szCs w:val="24"/>
        </w:rPr>
        <w:t xml:space="preserve">к договору поставки № ______/81-__ от __________20__ г.</w:t>
      </w: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right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widowControl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  <w:t xml:space="preserve">Условия банковской гарантии возврата предварительной оплаты (аванса)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Под банковской гарантией понимается гарантия согласованного Обществом Банка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которая будет регулироваться унифицированными правилами Международной торговой палаты – публикация МТП № 758 (ICC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Uniform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Rules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Demand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Guarantees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– ICC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Publication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758) в той мере, в какой указанные правила не противоречат императивным нормам законодательства Российской Федерации и следующим основным условиям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: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23"/>
        <w:numPr>
          <w:ilvl w:val="0"/>
          <w:numId w:val="13"/>
        </w:numPr>
        <w:ind w:left="0" w:right="0"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банковская гарантия должна быть безотзывной и безусловной (гарантия по первому требованию);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23"/>
        <w:numPr>
          <w:ilvl w:val="0"/>
          <w:numId w:val="13"/>
        </w:numPr>
        <w:ind w:left="0" w:right="0"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бенефициар по банковской гарантии - Покупатель, принципал – Поставщик;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23"/>
        <w:numPr>
          <w:ilvl w:val="0"/>
          <w:numId w:val="13"/>
        </w:numPr>
        <w:ind w:left="0" w:right="0"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сумма банковской гарантии выражена в валюте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расчетов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по Договору;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23"/>
        <w:numPr>
          <w:ilvl w:val="0"/>
          <w:numId w:val="13"/>
        </w:numPr>
        <w:ind w:left="0" w:right="0"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сумма банковской гарантии возврата авансового платежа - не менее 100 (ста) % от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суммы уплачиваемого по Договору аванса (в совокупной сумме с 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учетом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  <w:t xml:space="preserve"> ранее выплаченных и неотработанных авансовых платежей);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</w:p>
    <w:p>
      <w:pPr>
        <w:pStyle w:val="1023"/>
        <w:numPr>
          <w:ilvl w:val="0"/>
          <w:numId w:val="13"/>
        </w:numPr>
        <w:ind w:left="0" w:right="0" w:firstLine="709"/>
        <w:jc w:val="both"/>
        <w:spacing w:before="20" w:after="20" w:line="240" w:lineRule="auto"/>
        <w:tabs>
          <w:tab w:val="num" w:pos="540" w:leader="none"/>
        </w:tabs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срок окончания банковской гарантии - не ранее 70 (семидесяти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) календарных дней после наступления даты, в которую заканчивается срок исполнения обязательств по Договор в целом.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ind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Банковская гарантия должна предусматривать,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что для истребования суммы обеспечения Общество направляет Банку-гаранту только письменное требование о предъявлении суммы обеспечения к оплате, как полностью, так и частично, с указанием на существо допущенных Поставщиком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нарушений, в том числе в случаях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</w:p>
    <w:p>
      <w:pPr>
        <w:pStyle w:val="1023"/>
        <w:numPr>
          <w:ilvl w:val="0"/>
          <w:numId w:val="14"/>
        </w:numPr>
        <w:ind w:left="0" w:right="0"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отказа Поставщика от исполнения обязательств по Договору, в том числе одностороннего отказа от Договора;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23"/>
        <w:numPr>
          <w:ilvl w:val="0"/>
          <w:numId w:val="14"/>
        </w:numPr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отказа Поставщика от возврата неотработанного аванса при досрочном прекращении Договора / признании Договора недействительным;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023"/>
        <w:numPr>
          <w:ilvl w:val="0"/>
          <w:numId w:val="14"/>
        </w:numPr>
        <w:ind w:left="0" w:right="0"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нарушения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Поставщиком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сроков поставки (выполнения работ, оказания услуг), установленных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в Спецификации (Приложение №1 Договору) более, чем на 60 (шестьдесят)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календарны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  <w:t xml:space="preserve">х дней;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</w:r>
    </w:p>
    <w:p>
      <w:pPr>
        <w:pStyle w:val="1023"/>
        <w:numPr>
          <w:ilvl w:val="0"/>
          <w:numId w:val="14"/>
        </w:numPr>
        <w:ind w:left="0" w:right="0" w:firstLine="709"/>
        <w:jc w:val="both"/>
        <w:spacing w:before="20" w:after="20" w:line="240" w:lineRule="auto"/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утраты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Поставщиком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специальных разрешений (в том числе отзыв, прекращение (приостановление) действие допусков, разрешений) и / или лицензий, предоставляющих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Поставщику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 возможность надлежащего исполнения обязательств по Договору;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23"/>
        <w:numPr>
          <w:ilvl w:val="0"/>
          <w:numId w:val="14"/>
        </w:numPr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введения арбитражным судом процедуры несостоятельности (банкротства) в отношении 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4"/>
          <w:szCs w:val="24"/>
        </w:rPr>
        <w:t xml:space="preserve">Поставщ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ика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23"/>
        <w:numPr>
          <w:ilvl w:val="0"/>
          <w:numId w:val="14"/>
        </w:numPr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установления в ходе исполнения Договора фактов несоответствия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установленным документацией о закупке требованиям к участникам закупки и / или предоставления недостоверной информации о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своем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соответствии таким требованиям, а также недостоверности, неточности или неполноты заверений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об обстоятельствах, указанных в Договоре, и имеющих существенное значение для его заключения и исполнения;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</w:p>
    <w:p>
      <w:pPr>
        <w:pStyle w:val="1023"/>
        <w:numPr>
          <w:ilvl w:val="0"/>
          <w:numId w:val="14"/>
        </w:numPr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признания Договора недействительным по причинам отсутствия необходимых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корпоративных одобрений у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;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1023"/>
        <w:numPr>
          <w:ilvl w:val="0"/>
          <w:numId w:val="14"/>
        </w:numPr>
        <w:ind w:left="0" w:right="0" w:firstLine="709"/>
        <w:jc w:val="both"/>
        <w:spacing w:before="20" w:after="2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не предоставления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Поставщиком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срок не позднее чем за 30 (тридцать) календарных дней до даты истечения срока действия банковской гарантии новой банковской гарантии или изменения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действующей гарантии в части увеличения срока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ее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действия на новый период, в случаях если срок исполнения обязательств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Поставщика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 Договору превышает срок действия банковской гарантии либо срок исполнения обязательств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продлен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Вместе с требованием о предъявлении суммы обеспечения к оплате 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Покупатель</w:t>
      </w:r>
      <w: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направляет Банку-гаранту копию банковской гарантии.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Б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анковской гаранти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ей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возврата авансового платежа может быть предусмотрено условие о предоставлении вместе с требованием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 предъявлении суммы обеспечения к оплате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платежного поручения Общества, подтверждающе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го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факт осуществления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Обществом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авансового платежа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, с отметкой банка об исполнении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spacing w:before="20" w:after="20" w:line="240" w:lineRule="auto"/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Выбор формы направления такого требования осуществляется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Бенефициаром самостоятельно.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/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Платеж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 банковской гарантии осуществляется Банком-гарантом в течение 10 (десяти) рабочих дней после обращения бенефициара (Общества).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Сумма банковской гарантии по согласованию с Обществом может быть уменьшена пропорционально сумме выполненных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Поставщиком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обязательств по Договору.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  <w:tab/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Внесение изменений и дополнений в Договор в период срока действия банковской гарантии не освобождает Банк-гарант от обязательств перед бенефициаром по банковской гарантии.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  <w:tab w:val="left" w:pos="709" w:leader="none"/>
        </w:tabs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Принадлежащее Бенефициару по Гарантии право требования к Банку-гаранту может быть передано новому бенефициару - компании, входящей в Группу РусГидро, с последующим письменным уведомлением Бенефициаром Банка-гаранта о смене Бенефициара по Гарантии.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  <w:rPr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Банковская гарантия должна быть подчинена материальному праву Российской Федерации и предусматривать Арбитражный суд Хабаровского края в качестве органа, компетентного разрешать споры из банковской гарантии.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ab/>
        <w:tab/>
        <w:tab/>
        <w:tab/>
        <w:tab/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Банковская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Банковская гарантия возврата предварительной оплаты (аванса) может быть предоставлена: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-</w:t>
      </w:r>
      <w:r>
        <w:rPr>
          <w:sz w:val="24"/>
          <w:szCs w:val="24"/>
          <w:highlight w:val="none"/>
        </w:rPr>
        <w:t xml:space="preserve">в электронной форме с использованием программно-аппаратных </w:t>
      </w:r>
      <w:r>
        <w:rPr>
          <w:sz w:val="24"/>
          <w:szCs w:val="24"/>
          <w:highlight w:val="none"/>
        </w:rPr>
        <w:t xml:space="preserve">средств информационной системы электронного документооборота общего </w:t>
      </w:r>
      <w:r>
        <w:rPr>
          <w:sz w:val="24"/>
          <w:szCs w:val="24"/>
          <w:highlight w:val="none"/>
        </w:rPr>
        <w:t xml:space="preserve">пользования путем его подписания усиленной квалифицированной </w:t>
      </w:r>
      <w:r>
        <w:rPr>
          <w:sz w:val="24"/>
          <w:szCs w:val="24"/>
          <w:highlight w:val="none"/>
        </w:rPr>
        <w:t xml:space="preserve">электронной подписью уполномоченного представителя Банка-гаранта / </w:t>
      </w:r>
      <w:r>
        <w:rPr>
          <w:sz w:val="24"/>
          <w:szCs w:val="24"/>
          <w:highlight w:val="none"/>
        </w:rPr>
        <w:t xml:space="preserve">иным </w:t>
      </w:r>
      <w:r>
        <w:rPr>
          <w:sz w:val="24"/>
          <w:szCs w:val="24"/>
          <w:highlight w:val="none"/>
        </w:rPr>
        <w:t xml:space="preserve">способом</w:t>
      </w:r>
      <w:r>
        <w:rPr>
          <w:sz w:val="24"/>
          <w:szCs w:val="24"/>
          <w:highlight w:val="none"/>
        </w:rPr>
        <w:t xml:space="preserve">, </w:t>
      </w:r>
      <w:r>
        <w:rPr>
          <w:sz w:val="24"/>
          <w:szCs w:val="24"/>
          <w:highlight w:val="none"/>
        </w:rPr>
        <w:t xml:space="preserve">предусмотренным </w:t>
      </w:r>
      <w:r>
        <w:rPr>
          <w:sz w:val="24"/>
          <w:szCs w:val="24"/>
          <w:highlight w:val="none"/>
        </w:rPr>
        <w:t xml:space="preserve">законодательством </w:t>
      </w:r>
      <w:r>
        <w:rPr>
          <w:sz w:val="24"/>
          <w:szCs w:val="24"/>
          <w:highlight w:val="none"/>
        </w:rPr>
        <w:t xml:space="preserve">Российской </w:t>
      </w:r>
      <w:r>
        <w:rPr>
          <w:sz w:val="24"/>
          <w:szCs w:val="24"/>
          <w:highlight w:val="none"/>
        </w:rPr>
        <w:t xml:space="preserve">Федерации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spacing w:line="240" w:lineRule="auto"/>
        <w:widowControl/>
        <w:tabs>
          <w:tab w:val="left" w:pos="0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-в оригинале на бумажном носителе.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jc w:val="both"/>
        <w:widowControl/>
        <w:tabs>
          <w:tab w:val="left" w:pos="0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left"/>
        <w:widowControl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Покупатель: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АО «ДГК»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Поставщик: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shd w:val="nil" w:color="00000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right"/>
        <w:rPr>
          <w:rFonts w:eastAsia="Lucida Sans Unicode"/>
          <w:b/>
          <w:bCs/>
          <w:sz w:val="24"/>
          <w:szCs w:val="24"/>
        </w:rPr>
      </w:pPr>
      <w:r>
        <w:rPr>
          <w:rFonts w:eastAsia="Lucida Sans Unicode"/>
          <w:b/>
          <w:bCs/>
          <w:sz w:val="24"/>
          <w:szCs w:val="24"/>
        </w:rPr>
        <w:t xml:space="preserve">Приложение № 5</w:t>
      </w: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 w:val="24"/>
          <w:szCs w:val="24"/>
        </w:rPr>
      </w:r>
    </w:p>
    <w:p>
      <w:pPr>
        <w:jc w:val="right"/>
        <w:rPr>
          <w:sz w:val="22"/>
          <w:szCs w:val="22"/>
        </w:rPr>
      </w:pPr>
      <w:r>
        <w:rPr>
          <w:rFonts w:eastAsia="Lucida Sans Unicode"/>
          <w:b/>
          <w:bCs/>
          <w:sz w:val="24"/>
          <w:szCs w:val="24"/>
        </w:rPr>
        <w:t xml:space="preserve">к договору поставки № ______/81-__ от __________20__ г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Критерии отбора Банков – Гарантов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contextualSpacing/>
        <w:jc w:val="center"/>
        <w:shd w:val="clear" w:color="auto" w:fill="ffffff"/>
        <w:widowControl/>
        <w:tabs>
          <w:tab w:val="left" w:pos="1418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both"/>
        <w:spacing w:line="247" w:lineRule="auto"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Банк-Гарант (кредитная организация), выдающий банковскую гарантию, </w:t>
      </w:r>
      <w:r>
        <w:rPr>
          <w:b w:val="0"/>
          <w:bCs w:val="0"/>
          <w:sz w:val="24"/>
          <w:szCs w:val="24"/>
        </w:rPr>
        <w:t xml:space="preserve">должен входить в перечень Банков-Гарантов Группы РусГидро</w:t>
      </w:r>
      <w:r>
        <w:rPr>
          <w:rStyle w:val="1034"/>
          <w:b w:val="0"/>
          <w:bCs w:val="0"/>
          <w:sz w:val="24"/>
          <w:szCs w:val="24"/>
        </w:rPr>
        <w:footnoteReference w:id="4"/>
      </w:r>
      <w:r>
        <w:rPr>
          <w:b w:val="0"/>
          <w:bCs w:val="0"/>
          <w:sz w:val="24"/>
          <w:szCs w:val="24"/>
        </w:rPr>
        <w:t xml:space="preserve">, а также соответствовать следующим критериям: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</w:t>
      </w:r>
      <w:r>
        <w:rPr>
          <w:b w:val="0"/>
          <w:bCs w:val="0"/>
          <w:sz w:val="24"/>
          <w:szCs w:val="24"/>
        </w:rPr>
        <w:t xml:space="preserve"> быть приостановлена полностью или частично.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Присутствовать в Перечне кредитных организаций, соответствующих требованиям, установленным ч. 1 ст. 2 Федерального закона от 21.07.2014 № 213-ФЗ «Об открытии банковских счетов и аккредитивов, о заключении догово</w:t>
      </w:r>
      <w:r>
        <w:rPr>
          <w:b w:val="0"/>
          <w:bCs w:val="0"/>
          <w:sz w:val="24"/>
          <w:szCs w:val="24"/>
        </w:rPr>
        <w:t xml:space="preserve">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</w:t>
      </w:r>
      <w:r>
        <w:rPr>
          <w:b w:val="0"/>
          <w:bCs w:val="0"/>
          <w:sz w:val="24"/>
          <w:szCs w:val="24"/>
        </w:rPr>
        <w:t xml:space="preserve">ые акты Российской Федерации» (далее – 213-ФЗ) или иным документом, его заменяющим (в случае отмены 213-ФЗ).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Иметь собственные средства (капитал) </w:t>
      </w:r>
      <w:r>
        <w:rPr>
          <w:b w:val="0"/>
          <w:bCs w:val="0"/>
          <w:sz w:val="24"/>
          <w:szCs w:val="24"/>
        </w:rPr>
        <w:t xml:space="preserve">в</w:t>
      </w:r>
      <w:r>
        <w:rPr>
          <w:b w:val="0"/>
          <w:bCs w:val="0"/>
          <w:sz w:val="24"/>
          <w:szCs w:val="24"/>
        </w:rPr>
        <w:t xml:space="preserve"> размере не менее 25 млрд. рублей на 1 января текущего календарного года  по данным отчетности (в соответствии с кодом формы по ОКУД 0409123 «Расчет собственных средств (капитала) («Базель III») либо кодом формы по ОКУД 0409808 «Отчет об уровне достаточнос</w:t>
      </w:r>
      <w:r>
        <w:rPr>
          <w:b w:val="0"/>
          <w:bCs w:val="0"/>
          <w:sz w:val="24"/>
          <w:szCs w:val="24"/>
        </w:rPr>
        <w:t xml:space="preserve">ти капитала для покрытия рисков (публикуемая форма)»), опубликованной в информационно-телекоммуникационной сети «Интернет» (www.cbr.ru)  на официальных сайтах ЦБ РФ и / или кредитной организации либо представленной кредитной организации Обществу</w:t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Иметь кредитный рейтинг по национальной шкале не ниже уровня «BBB» рейтингового агентства АКРА или не ниже уровня «ruBBB» рейтингового агентства Эксперт РА. В случае отсут</w:t>
      </w:r>
      <w:r>
        <w:rPr>
          <w:b w:val="0"/>
          <w:bCs w:val="0"/>
          <w:sz w:val="24"/>
          <w:szCs w:val="24"/>
        </w:rPr>
        <w:t xml:space="preserve">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«Fitch-Ratings» или «Standard &amp; Poor's» либо уровня «Bа2» по кл</w:t>
      </w:r>
      <w:r>
        <w:rPr>
          <w:b w:val="0"/>
          <w:bCs w:val="0"/>
          <w:sz w:val="24"/>
          <w:szCs w:val="24"/>
        </w:rPr>
        <w:t xml:space="preserve">ассификации рейтингового агентства «Moody's Investors Service»</w:t>
      </w:r>
      <w:r>
        <w:rPr>
          <w:rStyle w:val="1034"/>
          <w:b w:val="0"/>
          <w:bCs w:val="0"/>
          <w:sz w:val="24"/>
          <w:szCs w:val="24"/>
        </w:rPr>
        <w:footnoteReference w:id="5"/>
      </w:r>
      <w:r>
        <w:rPr>
          <w:b w:val="0"/>
          <w:bCs w:val="0"/>
          <w:sz w:val="24"/>
          <w:szCs w:val="24"/>
        </w:rPr>
        <w:t xml:space="preserve">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Участвовать в системе обязательного страхования вкладов в банках Российской Федерации в соответствии с Федеральным законом от 23.12.2003 № 177-ФЗ «О страховании вкладов в банках Российской Ф</w:t>
      </w:r>
      <w:r>
        <w:rPr>
          <w:b w:val="0"/>
          <w:bCs w:val="0"/>
          <w:sz w:val="24"/>
          <w:szCs w:val="24"/>
        </w:rPr>
        <w:t xml:space="preserve">едерации»</w:t>
      </w:r>
      <w:r>
        <w:rPr>
          <w:rStyle w:val="1034"/>
          <w:b w:val="0"/>
          <w:bCs w:val="0"/>
          <w:sz w:val="24"/>
          <w:szCs w:val="24"/>
        </w:rPr>
        <w:footnoteReference w:id="6"/>
      </w:r>
      <w:r>
        <w:rPr>
          <w:b w:val="0"/>
          <w:bCs w:val="0"/>
          <w:sz w:val="24"/>
          <w:szCs w:val="24"/>
        </w:rPr>
        <w:t xml:space="preserve">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Не находиться в процессе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</w:t>
      </w:r>
      <w:r>
        <w:rPr>
          <w:b w:val="0"/>
          <w:bCs w:val="0"/>
          <w:sz w:val="24"/>
          <w:szCs w:val="24"/>
        </w:rPr>
        <w:t xml:space="preserve">ов» (http://www.asv.org.ru))».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Не иметь просроченную задолженность перед Обществом и компаниями Группы РусГидро.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Присутствовать (иметь отделение, филиал) по месту нахождения Общества, его обособленного подразделения или структурного подразделения, для нужд</w:t>
      </w:r>
      <w:r>
        <w:rPr>
          <w:b w:val="0"/>
          <w:bCs w:val="0"/>
          <w:sz w:val="24"/>
          <w:szCs w:val="24"/>
        </w:rPr>
        <w:t xml:space="preserve"> которого заключается Договор.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Требования, установленные пунктами 2 – 4 настоящих Критериев, не распространяются на кредитные организации: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В отношении которых или в отношении лиц, под контролем либо значительным влиянием которых находятся кредитные органи</w:t>
      </w:r>
      <w:r>
        <w:rPr>
          <w:b w:val="0"/>
          <w:bCs w:val="0"/>
          <w:sz w:val="24"/>
          <w:szCs w:val="24"/>
        </w:rPr>
        <w:t xml:space="preserve">зации, по состоянию на 01.01.2015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которой могут размещаться средства федерального б</w:t>
      </w:r>
      <w:r>
        <w:rPr>
          <w:b w:val="0"/>
          <w:bCs w:val="0"/>
          <w:sz w:val="24"/>
          <w:szCs w:val="24"/>
        </w:rPr>
        <w:t xml:space="preserve">юджета на банковских депозитах в соответствии с постановлением Правительства Российской Федерации 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</w:t>
      </w:r>
      <w:r>
        <w:rPr>
          <w:b w:val="0"/>
          <w:bCs w:val="0"/>
          <w:sz w:val="24"/>
          <w:szCs w:val="24"/>
        </w:rPr>
        <w:t xml:space="preserve">социального страхования от несчастных случаев на производстве и профессиональных заболеваний на банковских депозитах».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Основной целью деятельности которых является реализация программ поддержки малого и среднего предпринимательства в соответствии с Федера</w:t>
      </w:r>
      <w:r>
        <w:rPr>
          <w:b w:val="0"/>
          <w:bCs w:val="0"/>
          <w:sz w:val="24"/>
          <w:szCs w:val="24"/>
        </w:rPr>
        <w:t xml:space="preserve">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Утвержденн</w:t>
      </w:r>
      <w:r>
        <w:rPr>
          <w:b w:val="0"/>
          <w:bCs w:val="0"/>
          <w:sz w:val="24"/>
          <w:szCs w:val="24"/>
        </w:rPr>
        <w:t xml:space="preserve">ую Наблюдательным советом Ассоциации «Некоммерческое партнерство Совет рынка в качестве уполномоченной кредитной организации, ответственной за проведение ра</w:t>
      </w:r>
      <w:r>
        <w:rPr>
          <w:b w:val="0"/>
          <w:bCs w:val="0"/>
          <w:sz w:val="24"/>
          <w:szCs w:val="24"/>
        </w:rPr>
        <w:t xml:space="preserve">счетов между субъектами ОРЭМ.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ВЭБ.РФ.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6"/>
        </w:numPr>
        <w:ind w:left="0" w:firstLine="709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  <w:t xml:space="preserve">Нерезидентов Российской Федерации.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numPr>
          <w:ilvl w:val="1"/>
          <w:numId w:val="15"/>
        </w:numPr>
        <w:ind w:left="0" w:firstLine="710"/>
        <w:jc w:val="both"/>
        <w:spacing w:line="247" w:lineRule="auto"/>
        <w:widowControl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РусГидро, не должна превышать размер лимита риска, оп</w:t>
      </w:r>
      <w:r>
        <w:rPr>
          <w:b w:val="0"/>
          <w:bCs w:val="0"/>
          <w:sz w:val="24"/>
          <w:szCs w:val="24"/>
        </w:rPr>
        <w:t xml:space="preserve">ределяемого по формуле: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709"/>
        <w:jc w:val="center"/>
        <w:spacing w:line="247" w:lineRule="auto"/>
        <w:tabs>
          <w:tab w:val="left" w:pos="1134" w:leader="none"/>
        </w:tabs>
        <w:rPr>
          <w:b w:val="0"/>
          <w:bCs w:val="0"/>
          <w:sz w:val="24"/>
          <w:szCs w:val="24"/>
        </w:rPr>
      </w:pPr>
      <w:r>
        <w:rPr>
          <w:b w:val="0"/>
          <w:bCs w:val="0"/>
          <w:i/>
          <w:sz w:val="24"/>
          <w:szCs w:val="24"/>
        </w:rPr>
        <w:t xml:space="preserve">Lim</w:t>
      </w:r>
      <w:r>
        <w:rPr>
          <w:b w:val="0"/>
          <w:bCs w:val="0"/>
          <w:i/>
          <w:sz w:val="24"/>
          <w:szCs w:val="24"/>
          <w:vertAlign w:val="subscript"/>
        </w:rPr>
        <w:t xml:space="preserve">Ai</w:t>
      </w:r>
      <w:r>
        <w:rPr>
          <w:b w:val="0"/>
          <w:bCs w:val="0"/>
          <w:i/>
          <w:sz w:val="24"/>
          <w:szCs w:val="24"/>
        </w:rPr>
        <w:t xml:space="preserve">  = r</w:t>
      </w:r>
      <w:r>
        <w:rPr>
          <w:b w:val="0"/>
          <w:bCs w:val="0"/>
          <w:i/>
          <w:sz w:val="24"/>
          <w:szCs w:val="24"/>
          <w:vertAlign w:val="subscript"/>
        </w:rPr>
        <w:t xml:space="preserve">i</w:t>
      </w:r>
      <w:r>
        <w:rPr>
          <w:b w:val="0"/>
          <w:bCs w:val="0"/>
          <w:i/>
          <w:sz w:val="24"/>
          <w:szCs w:val="24"/>
        </w:rPr>
        <w:t xml:space="preserve"> × СK</w:t>
      </w:r>
      <w:r>
        <w:rPr>
          <w:b w:val="0"/>
          <w:bCs w:val="0"/>
          <w:i/>
          <w:sz w:val="24"/>
          <w:szCs w:val="24"/>
          <w:vertAlign w:val="subscript"/>
        </w:rPr>
        <w:t xml:space="preserve">i</w:t>
      </w:r>
      <w:r>
        <w:rPr>
          <w:b w:val="0"/>
          <w:bCs w:val="0"/>
          <w:sz w:val="24"/>
          <w:szCs w:val="24"/>
        </w:rPr>
        <w:t xml:space="preserve">, где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817"/>
        <w:gridCol w:w="284"/>
        <w:gridCol w:w="8505"/>
      </w:tblGrid>
      <w:tr>
        <w:tblPrEx/>
        <w:trPr>
          <w:trHeight w:val="426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/>
                <w:color w:val="000000"/>
                <w:sz w:val="24"/>
                <w:szCs w:val="24"/>
              </w:rPr>
              <w:t xml:space="preserve">Lim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Ai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ind w:left="317" w:right="-108" w:hanging="317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- 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Лимит риска для i-ой кредитной организации</w:t>
            </w:r>
            <w:r>
              <w:rPr>
                <w:b w:val="0"/>
                <w:bCs w:val="0"/>
                <w:sz w:val="24"/>
                <w:szCs w:val="24"/>
                <w:vertAlign w:val="superscript"/>
              </w:rPr>
              <w:footnoteReference w:id="7"/>
            </w:r>
            <w:r>
              <w:rPr>
                <w:b w:val="0"/>
                <w:bCs w:val="0"/>
                <w:sz w:val="24"/>
                <w:szCs w:val="24"/>
                <w:vertAlign w:val="superscript"/>
              </w:rPr>
              <w:t xml:space="preserve">.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280"/>
        </w:trPr>
        <w:tc>
          <w:tcPr>
            <w:shd w:val="clear" w:color="ffffff" w:fill="ffffff"/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</w:rPr>
            </w:pPr>
            <w:r>
              <w:rPr>
                <w:b w:val="0"/>
                <w:bCs w:val="0"/>
                <w:i/>
                <w:color w:val="000000"/>
                <w:sz w:val="24"/>
                <w:szCs w:val="24"/>
              </w:rPr>
              <w:t xml:space="preserve">С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lang w:val="en-US"/>
              </w:rPr>
              <w:t xml:space="preserve">K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  <w:lang w:val="en-US"/>
              </w:rPr>
              <w:t xml:space="preserve">i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</w:rPr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</w:rPr>
            </w:r>
          </w:p>
          <w:p>
            <w:pPr>
              <w:ind w:right="-108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  <w:t xml:space="preserve">  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8505" w:type="dxa"/>
            <w:textDirection w:val="lrTb"/>
            <w:noWrap w:val="false"/>
          </w:tcPr>
          <w:p>
            <w:pPr>
              <w:ind w:left="-75" w:right="-108"/>
              <w:jc w:val="both"/>
              <w:spacing w:line="247" w:lineRule="auto"/>
              <w:rPr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размер собственных средств (капитала) i-ой кредитной организации на 01 января текущего </w:t>
            </w:r>
            <w:r>
              <w:rPr>
                <w:b w:val="0"/>
                <w:bCs w:val="0"/>
                <w:sz w:val="24"/>
                <w:szCs w:val="24"/>
              </w:rPr>
              <w:t xml:space="preserve">к</w:t>
            </w:r>
            <w:r>
              <w:rPr>
                <w:b w:val="0"/>
                <w:bCs w:val="0"/>
                <w:sz w:val="24"/>
                <w:szCs w:val="24"/>
              </w:rPr>
              <w:t xml:space="preserve">алендарного года по данным отчетности (в соответствии с кодом формы по ОКУД 0409123 «Расчет собственных средств (капитала) («Базель III») либо кодом формы по ОКУД 0409808 «Отчет об уровне достаточности капитала для покрытия рисков (публикуемая форма)»), оп</w:t>
            </w:r>
            <w:r>
              <w:rPr>
                <w:b w:val="0"/>
                <w:bCs w:val="0"/>
                <w:sz w:val="24"/>
                <w:szCs w:val="24"/>
              </w:rPr>
              <w:t xml:space="preserve">убликованной в информационно-телекоммуникационной сети «Интернет» (www.cbr.ru) на официальных сайтах ЦБ РФ и / или кредитной организации либо представленной кредитной организацией Обществу</w:t>
            </w:r>
            <w:r>
              <w:rPr>
                <w:b w:val="0"/>
                <w:bCs w:val="0"/>
                <w:sz w:val="24"/>
                <w:szCs w:val="24"/>
              </w:rPr>
              <w:t xml:space="preserve">;</w:t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993"/>
        </w:trPr>
        <w:tc>
          <w:tcPr>
            <w:tcW w:w="817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 w:val="0"/>
                <w:bCs w:val="0"/>
                <w:i/>
                <w:color w:val="000000"/>
                <w:sz w:val="24"/>
                <w:szCs w:val="24"/>
              </w:rPr>
            </w:pPr>
            <w:r>
              <w:rPr>
                <w:b w:val="0"/>
                <w:bCs w:val="0"/>
                <w:i/>
                <w:color w:val="000000"/>
                <w:sz w:val="24"/>
                <w:szCs w:val="24"/>
              </w:rPr>
              <w:t xml:space="preserve">r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  <w:vertAlign w:val="subscript"/>
              </w:rPr>
              <w:t xml:space="preserve">i</w:t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</w:rPr>
            </w:r>
            <w:r>
              <w:rPr>
                <w:b w:val="0"/>
                <w:bCs w:val="0"/>
                <w:i/>
                <w:color w:val="000000"/>
                <w:sz w:val="24"/>
                <w:szCs w:val="24"/>
              </w:rPr>
            </w:r>
          </w:p>
        </w:tc>
        <w:tc>
          <w:tcPr>
            <w:tcW w:w="284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-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8505" w:type="dxa"/>
            <w:textDirection w:val="lrTb"/>
            <w:noWrap w:val="false"/>
          </w:tcPr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рейтинговый коэффициент</w:t>
            </w:r>
            <w:r>
              <w:rPr>
                <w:rStyle w:val="1034"/>
                <w:b w:val="0"/>
                <w:bCs w:val="0"/>
                <w:sz w:val="24"/>
                <w:szCs w:val="24"/>
              </w:rPr>
              <w:footnoteReference w:id="8"/>
            </w:r>
            <w:r>
              <w:rPr>
                <w:b w:val="0"/>
                <w:bCs w:val="0"/>
                <w:sz w:val="24"/>
                <w:szCs w:val="24"/>
              </w:rPr>
              <w:t xml:space="preserve"> для i-ой кредитной организации, равный: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0,075 - если i-ая кредитная организация имеет национальный рейтинг кредитоспособности не ниже уровня «АА-»по классификации рейтингового агентства АКРА или не ниже уровня «ruАA-» по классификации рейтингового агентства Эксперт РА;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b w:val="0"/>
                <w:bCs w:val="0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0,05 - если i-ая кредитная организация имеет национальный рейтинг кредитоспособности не ниже уровня «А-» по классификации рейтингового агентства АКРА или не ниже уровня «ruA-» по классификации рейтингового агентства Эксперт РА;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  <w:p>
            <w:pPr>
              <w:ind w:right="-108"/>
              <w:jc w:val="both"/>
              <w:spacing w:line="247" w:lineRule="auto"/>
              <w:tabs>
                <w:tab w:val="left" w:pos="7130" w:leader="none"/>
              </w:tabs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0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,025 - если i-ая кредитная организация имеет национальный рейтинг кредитоспособности не ниже уровня «BBВ» по классификации рейтингового агентства АКРА или не ниже уровня «ruBBВ» по классификации рейтингового агентства Эксперт РА, а также находится в процес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се финансового оздоровления (санации).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line="247" w:lineRule="auto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1010"/>
        <w:ind w:firstLine="567"/>
        <w:jc w:val="right"/>
        <w:spacing w:after="0" w:line="247" w:lineRule="auto"/>
        <w:rPr>
          <w:b w:val="0"/>
          <w:bCs w:val="0"/>
          <w:sz w:val="24"/>
          <w:szCs w:val="24"/>
        </w:rPr>
        <w:outlineLvl w:val="0"/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spacing w:line="247" w:lineRule="auto"/>
        <w:rPr>
          <w:b w:val="0"/>
          <w:bCs w:val="0"/>
          <w:sz w:val="24"/>
          <w:szCs w:val="24"/>
        </w:rPr>
        <w:outlineLvl w:val="0"/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tbl>
      <w:tblPr>
        <w:tblW w:w="963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21"/>
        <w:gridCol w:w="4817"/>
      </w:tblGrid>
      <w:tr>
        <w:tblPrEx/>
        <w:trPr/>
        <w:tc>
          <w:tcPr>
            <w:shd w:val="clear" w:color="ffffff" w:fill="ffffff"/>
            <w:tcW w:w="4821" w:type="dxa"/>
            <w:textDirection w:val="lrTb"/>
            <w:noWrap w:val="false"/>
          </w:tcPr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Покупатель: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АО «ДГК»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shd w:val="clear" w:color="ffffff" w:fill="ffffff"/>
            <w:tcW w:w="4817" w:type="dxa"/>
            <w:textDirection w:val="lrTb"/>
            <w:noWrap w:val="false"/>
          </w:tcPr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Поставщик: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4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_____________________/_____________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firstLine="33"/>
              <w:spacing w:line="247" w:lineRule="auto"/>
              <w:widowControl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96" w:firstLine="6237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rPr>
          <w:rFonts w:eastAsia="Lucida Sans Unicode"/>
          <w:b/>
          <w:bCs/>
          <w:sz w:val="24"/>
          <w:szCs w:val="24"/>
        </w:rPr>
      </w:pPr>
      <w:r>
        <w:rPr>
          <w:rFonts w:eastAsia="Lucida Sans Unicode"/>
          <w:b/>
          <w:bCs/>
          <w:sz w:val="24"/>
          <w:szCs w:val="24"/>
        </w:rPr>
        <w:t xml:space="preserve">Приложение № 6</w:t>
      </w: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 w:val="24"/>
          <w:szCs w:val="24"/>
        </w:rPr>
      </w:r>
    </w:p>
    <w:p>
      <w:pPr>
        <w:jc w:val="right"/>
        <w:rPr>
          <w:sz w:val="22"/>
          <w:szCs w:val="22"/>
        </w:rPr>
      </w:pPr>
      <w:r>
        <w:rPr>
          <w:rFonts w:eastAsia="Lucida Sans Unicode"/>
          <w:b/>
          <w:bCs/>
          <w:sz w:val="24"/>
          <w:szCs w:val="24"/>
        </w:rPr>
        <w:t xml:space="preserve">к договору поставки № ______/81-__ от __________20__ г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rPr>
          <w:sz w:val="32"/>
          <w:szCs w:val="32"/>
        </w:rPr>
      </w:pPr>
      <w:r>
        <w:rPr>
          <w:sz w:val="24"/>
          <w:szCs w:val="24"/>
        </w:rPr>
        <w:t xml:space="preserve">Акт приема передачи банковской гарантии по Договору 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center"/>
        <w:rPr>
          <w:sz w:val="32"/>
          <w:szCs w:val="32"/>
        </w:rPr>
      </w:pPr>
      <w:r>
        <w:rPr>
          <w:sz w:val="24"/>
          <w:szCs w:val="24"/>
        </w:rPr>
        <w:t xml:space="preserve">(форма)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both"/>
        <w:tabs>
          <w:tab w:val="left" w:pos="8280" w:leader="none"/>
        </w:tabs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rPr>
          <w:sz w:val="32"/>
          <w:szCs w:val="32"/>
        </w:rPr>
      </w:pPr>
      <w:r>
        <w:rPr>
          <w:sz w:val="24"/>
          <w:szCs w:val="24"/>
        </w:rPr>
        <w:t xml:space="preserve">г. Хабаровск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«_____»_________20___ г.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r/>
      <w:r/>
    </w:p>
    <w:p>
      <w:pPr>
        <w:ind w:firstLine="851"/>
        <w:jc w:val="both"/>
        <w:rPr>
          <w:sz w:val="32"/>
          <w:szCs w:val="32"/>
        </w:rPr>
      </w:pPr>
      <w:r>
        <w:rPr>
          <w:sz w:val="24"/>
          <w:szCs w:val="24"/>
        </w:rPr>
        <w:t xml:space="preserve">Мы, нижеподписавшиеся, ____ «________________» </w:t>
      </w:r>
      <w:r>
        <w:rPr>
          <w:i/>
          <w:sz w:val="24"/>
          <w:szCs w:val="24"/>
        </w:rPr>
        <w:t xml:space="preserve">(указать наименование контрагента)</w:t>
      </w:r>
      <w:r>
        <w:rPr>
          <w:sz w:val="24"/>
          <w:szCs w:val="24"/>
        </w:rPr>
        <w:t xml:space="preserve"> в лице ____________________ </w:t>
      </w:r>
      <w:r>
        <w:rPr>
          <w:i/>
          <w:sz w:val="24"/>
          <w:szCs w:val="24"/>
        </w:rPr>
        <w:t xml:space="preserve">(указать должность, ФИО полностью)</w:t>
      </w:r>
      <w:r>
        <w:rPr>
          <w:sz w:val="24"/>
          <w:szCs w:val="24"/>
        </w:rPr>
        <w:t xml:space="preserve">, действующего на основании ________________ </w:t>
      </w:r>
      <w:r>
        <w:rPr>
          <w:i/>
          <w:sz w:val="24"/>
          <w:szCs w:val="24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</w:rPr>
        <w:t xml:space="preserve"> (далее – Сторона 1), и представитель АО «ДГК» в лице  ____________________ </w:t>
      </w:r>
      <w:r>
        <w:rPr>
          <w:i/>
          <w:sz w:val="24"/>
          <w:szCs w:val="24"/>
        </w:rPr>
        <w:t xml:space="preserve">(указать должность, ФИО полностью)</w:t>
      </w:r>
      <w:r>
        <w:rPr>
          <w:sz w:val="24"/>
          <w:szCs w:val="24"/>
        </w:rPr>
        <w:t xml:space="preserve">, действующего на основании ________________ </w:t>
      </w:r>
      <w:r>
        <w:rPr>
          <w:i/>
          <w:sz w:val="24"/>
          <w:szCs w:val="24"/>
        </w:rPr>
        <w:t xml:space="preserve">(указать документ, предоставивший полномочия - Устав, доверенность от №)</w:t>
      </w:r>
      <w:r>
        <w:rPr>
          <w:sz w:val="24"/>
          <w:szCs w:val="24"/>
        </w:rPr>
        <w:t xml:space="preserve"> (далее – Сторона 2), подписали настоящий акт в двух экземплярах о том, что Сторона 1 передала, а Сторона 2 приняла оригинал банковской (-их) гарантии (-й), выданной (-ых) ___________ (</w:t>
      </w:r>
      <w:r>
        <w:rPr>
          <w:i/>
          <w:sz w:val="24"/>
          <w:szCs w:val="24"/>
        </w:rPr>
        <w:t xml:space="preserve">наименование банка, выдавшего БГ</w:t>
      </w:r>
      <w:r>
        <w:rPr>
          <w:sz w:val="24"/>
          <w:szCs w:val="24"/>
        </w:rPr>
        <w:t xml:space="preserve">) со следующими реквизитами: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ind w:firstLine="851"/>
        <w:jc w:val="both"/>
      </w:pPr>
      <w:r/>
      <w:r/>
    </w:p>
    <w:tbl>
      <w:tblPr>
        <w:tblW w:w="96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29"/>
        <w:gridCol w:w="1134"/>
        <w:gridCol w:w="992"/>
        <w:gridCol w:w="996"/>
        <w:gridCol w:w="1984"/>
        <w:gridCol w:w="1244"/>
        <w:gridCol w:w="1024"/>
      </w:tblGrid>
      <w:tr>
        <w:tblPrEx/>
        <w:trPr>
          <w:trHeight w:val="850"/>
        </w:trPr>
        <w:tc>
          <w:tcPr>
            <w:shd w:val="clear" w:color="ffffff" w:fill="ffffff"/>
            <w:tcW w:w="534" w:type="dxa"/>
            <w:textDirection w:val="lrTb"/>
            <w:noWrap w:val="false"/>
          </w:tcPr>
          <w:p>
            <w:pPr>
              <w:jc w:val="center"/>
            </w:pPr>
            <w:r>
              <w:t xml:space="preserve">№</w:t>
            </w:r>
            <w:r/>
          </w:p>
          <w:p>
            <w:pPr>
              <w:jc w:val="center"/>
            </w:pPr>
            <w:r>
              <w:t xml:space="preserve">п/п</w:t>
            </w:r>
            <w:r/>
          </w:p>
        </w:tc>
        <w:tc>
          <w:tcPr>
            <w:shd w:val="clear" w:color="ffffff" w:fill="ffffff"/>
            <w:tcW w:w="1729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Реквизиты обеспечиваемого обязательства (Договора, от №)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 Банка-Гаранта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Номер 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Сумма гарантии, руб.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Вид 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24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 выдачи 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024" w:type="dxa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Дата окончания гарантии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shd w:val="clear" w:color="ffffff" w:fill="ffffff"/>
            <w:tcW w:w="534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1</w:t>
            </w:r>
            <w:r/>
          </w:p>
        </w:tc>
        <w:tc>
          <w:tcPr>
            <w:shd w:val="clear" w:color="ffffff" w:fill="ffffff"/>
            <w:tcW w:w="17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i/>
                <w:sz w:val="22"/>
              </w:rPr>
              <w:t xml:space="preserve">Указать реквизиты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996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 xml:space="preserve">указать вид гарантии, например, надлежащего исполнения обязательств/возврат аванса</w:t>
            </w:r>
            <w:r>
              <w:rPr>
                <w:i/>
                <w:sz w:val="22"/>
              </w:rPr>
            </w:r>
            <w:r>
              <w:rPr>
                <w:i/>
                <w:sz w:val="22"/>
              </w:rPr>
            </w:r>
          </w:p>
        </w:tc>
        <w:tc>
          <w:tcPr>
            <w:shd w:val="clear" w:color="ffffff" w:fill="ffffff"/>
            <w:tcW w:w="12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0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contextualSpacing/>
        <w:jc w:val="both"/>
        <w:rPr>
          <w:sz w:val="32"/>
          <w:szCs w:val="32"/>
        </w:rPr>
      </w:pPr>
      <w:r>
        <w:rPr>
          <w:sz w:val="24"/>
          <w:szCs w:val="24"/>
        </w:rPr>
        <w:t xml:space="preserve">Приложение.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contextualSpacing/>
        <w:jc w:val="both"/>
        <w:rPr>
          <w:sz w:val="32"/>
          <w:szCs w:val="32"/>
        </w:rPr>
      </w:pPr>
      <w:r>
        <w:rPr>
          <w:sz w:val="24"/>
          <w:szCs w:val="24"/>
        </w:rPr>
        <w:t xml:space="preserve">Оригинал банковской гарантии от ___ № ________;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contextualSpacing/>
        <w:jc w:val="both"/>
        <w:rPr>
          <w:i/>
          <w:sz w:val="32"/>
          <w:szCs w:val="32"/>
        </w:rPr>
      </w:pPr>
      <w:r>
        <w:rPr>
          <w:sz w:val="24"/>
          <w:szCs w:val="24"/>
        </w:rPr>
        <w:t xml:space="preserve">Доверенность от ___ № ________ </w:t>
      </w:r>
      <w:r>
        <w:rPr>
          <w:i/>
          <w:sz w:val="24"/>
          <w:szCs w:val="24"/>
        </w:rPr>
        <w:t xml:space="preserve">(указываются реквизиты доверенности на лицо, подписавшее гарантию)</w:t>
      </w:r>
      <w:r>
        <w:rPr>
          <w:i/>
          <w:sz w:val="32"/>
          <w:szCs w:val="32"/>
        </w:rPr>
      </w:r>
      <w:r>
        <w:rPr>
          <w:i/>
          <w:sz w:val="32"/>
          <w:szCs w:val="32"/>
        </w:rPr>
      </w:r>
    </w:p>
    <w:p>
      <w:pPr>
        <w:contextualSpacing/>
        <w:jc w:val="both"/>
        <w:rPr>
          <w:i/>
          <w:sz w:val="32"/>
          <w:szCs w:val="32"/>
        </w:rPr>
      </w:pPr>
      <w:r>
        <w:rPr>
          <w:sz w:val="24"/>
          <w:szCs w:val="24"/>
        </w:rPr>
        <w:t xml:space="preserve">Доверенность от ___ № ________ </w:t>
      </w:r>
      <w:r>
        <w:rPr>
          <w:i/>
          <w:sz w:val="24"/>
          <w:szCs w:val="24"/>
        </w:rPr>
        <w:t xml:space="preserve">(указываются реквизиты доверенности на лицо, подписавшее акт приема-передачи)</w:t>
      </w:r>
      <w:r>
        <w:rPr>
          <w:i/>
          <w:sz w:val="32"/>
          <w:szCs w:val="32"/>
        </w:rPr>
      </w:r>
      <w:r>
        <w:rPr>
          <w:i/>
          <w:sz w:val="32"/>
          <w:szCs w:val="32"/>
        </w:rPr>
      </w:r>
    </w:p>
    <w:p>
      <w:pPr>
        <w:jc w:val="both"/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both"/>
        <w:spacing w:line="360" w:lineRule="auto"/>
        <w:rPr>
          <w:sz w:val="32"/>
          <w:szCs w:val="32"/>
        </w:rPr>
      </w:pPr>
      <w:r>
        <w:rPr>
          <w:sz w:val="24"/>
          <w:szCs w:val="24"/>
        </w:rPr>
        <w:t xml:space="preserve">Передал: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Принял: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both"/>
        <w:rPr>
          <w:sz w:val="32"/>
          <w:szCs w:val="32"/>
        </w:rPr>
      </w:pPr>
      <w:r>
        <w:rPr>
          <w:sz w:val="24"/>
          <w:szCs w:val="24"/>
        </w:rPr>
        <w:t xml:space="preserve">Указывается ФИО и должность </w:t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Указывается ФИО и должность </w:t>
      </w:r>
      <w:r>
        <w:rPr>
          <w:sz w:val="24"/>
          <w:szCs w:val="24"/>
        </w:rPr>
        <w:tab/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both"/>
        <w:rPr>
          <w:sz w:val="32"/>
          <w:szCs w:val="32"/>
        </w:rPr>
      </w:pPr>
      <w:r>
        <w:rPr>
          <w:sz w:val="24"/>
          <w:szCs w:val="24"/>
        </w:rPr>
        <w:t xml:space="preserve">уполномоченного лица Стороны 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уполномоченного лица Стороны 2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both"/>
        <w:rPr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both"/>
        <w:rPr>
          <w:sz w:val="32"/>
          <w:szCs w:val="32"/>
        </w:rPr>
      </w:pPr>
      <w:r>
        <w:rPr>
          <w:sz w:val="24"/>
          <w:szCs w:val="24"/>
        </w:rPr>
        <w:t xml:space="preserve">___________________________                                          _______________________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jc w:val="both"/>
        <w:rPr>
          <w:sz w:val="32"/>
          <w:szCs w:val="32"/>
        </w:rPr>
      </w:pPr>
      <w:r>
        <w:rPr>
          <w:sz w:val="24"/>
          <w:szCs w:val="24"/>
        </w:rPr>
        <w:t xml:space="preserve">              </w:t>
      </w:r>
      <w:r>
        <w:t xml:space="preserve">МП                                                                                                 </w:t>
      </w:r>
      <w:r>
        <w:t xml:space="preserve">МП</w:t>
      </w:r>
      <w:r>
        <w:rPr>
          <w:sz w:val="32"/>
          <w:szCs w:val="32"/>
        </w:rPr>
      </w:r>
      <w:r>
        <w:rPr>
          <w:sz w:val="32"/>
          <w:szCs w:val="32"/>
        </w:rPr>
      </w:r>
    </w:p>
    <w:p>
      <w:pPr>
        <w:pStyle w:val="838"/>
        <w:jc w:val="center"/>
        <w:rPr>
          <w:rFonts w:ascii="Times New Roman" w:hAnsi="Times New Roman" w:eastAsia="Times New Roman" w:cs="Times New Roman"/>
          <w:bCs w:val="0"/>
          <w:i w:val="0"/>
        </w:rPr>
      </w:pPr>
      <w:r>
        <w:rPr>
          <w:rFonts w:ascii="Times New Roman" w:hAnsi="Times New Roman" w:eastAsia="Times New Roman" w:cs="Times New Roman"/>
          <w:i w:val="0"/>
          <w:iCs w:val="0"/>
        </w:rPr>
        <w:t xml:space="preserve">ФОРМА СОГЛАСОВАНА</w:t>
      </w:r>
      <w:r>
        <w:rPr>
          <w:rFonts w:ascii="Times New Roman" w:hAnsi="Times New Roman" w:eastAsia="Times New Roman" w:cs="Times New Roman"/>
          <w:bCs w:val="0"/>
          <w:i w:val="0"/>
        </w:rPr>
      </w:r>
      <w:r>
        <w:rPr>
          <w:rFonts w:ascii="Times New Roman" w:hAnsi="Times New Roman" w:eastAsia="Times New Roman" w:cs="Times New Roman"/>
          <w:bCs w:val="0"/>
          <w:i w:val="0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>
        <w:tblPrEx/>
        <w:trPr>
          <w:trHeight w:val="80"/>
        </w:trPr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Покупатель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АО «ДГК»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pStyle w:val="1051"/>
              <w:spacing w:after="0"/>
              <w:rPr>
                <w:bCs/>
                <w:i/>
              </w:rPr>
            </w:pPr>
            <w:r>
              <w:rPr>
                <w:bCs/>
                <w:i/>
              </w:rPr>
            </w:r>
            <w:r>
              <w:rPr>
                <w:bCs/>
                <w:i/>
              </w:rPr>
            </w:r>
            <w:r>
              <w:rPr>
                <w:bCs/>
                <w:i/>
              </w:rPr>
            </w:r>
          </w:p>
          <w:p>
            <w:pPr>
              <w:pStyle w:val="1051"/>
              <w:spacing w:after="0"/>
            </w:pPr>
            <w:r>
              <w:t xml:space="preserve">________________ / _____________</w:t>
            </w:r>
            <w:r/>
          </w:p>
        </w:tc>
        <w:tc>
          <w:tcPr>
            <w:shd w:val="clear" w:color="ffffff" w:fill="ffffff"/>
            <w:tcW w:w="4785" w:type="dxa"/>
            <w:textDirection w:val="lrTb"/>
            <w:noWrap w:val="false"/>
          </w:tcPr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Поставщик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  <w:rPr>
                <w:b/>
              </w:rPr>
            </w:pPr>
            <w:r>
              <w:rPr>
                <w:b/>
              </w:rPr>
              <w:t xml:space="preserve">_______________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1051"/>
              <w:spacing w:after="0"/>
            </w:pPr>
            <w:r/>
            <w:r/>
          </w:p>
          <w:p>
            <w:pPr>
              <w:pStyle w:val="1051"/>
              <w:spacing w:after="0"/>
            </w:pPr>
            <w:r/>
            <w:r/>
          </w:p>
          <w:p>
            <w:pPr>
              <w:pStyle w:val="1051"/>
              <w:spacing w:after="0"/>
            </w:pPr>
            <w:r>
              <w:t xml:space="preserve">________________ / ______________</w:t>
            </w:r>
            <w:r/>
          </w:p>
        </w:tc>
      </w:tr>
    </w:tbl>
    <w:p>
      <w:pPr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39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Times New Roman">
    <w:panose1 w:val="02020603050405020304"/>
  </w:font>
  <w:font w:name="Lucida Sans Unicode">
    <w:panose1 w:val="020B06030308040202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16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4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18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32"/>
      </w:pPr>
      <w:r>
        <w:rPr>
          <w:rStyle w:val="1034"/>
        </w:rPr>
        <w:footnoteRef/>
      </w:r>
      <w:r>
        <w:t xml:space="preserve"> Исключается из Договора в случае, если Поставщиком применяется упрощенная система налогообложения</w:t>
      </w:r>
      <w:r/>
    </w:p>
  </w:footnote>
  <w:footnote w:id="3">
    <w:p>
      <w:pPr>
        <w:pStyle w:val="1032"/>
      </w:pPr>
      <w:r>
        <w:rPr>
          <w:rStyle w:val="1034"/>
        </w:rPr>
        <w:footnoteRef/>
      </w:r>
      <w:r>
        <w:t xml:space="preserve"> Выделенные абзацы подлежат исключению из Договора, если Поставщиком является Индивидуальный предприниматель.</w:t>
      </w:r>
      <w:r/>
    </w:p>
  </w:footnote>
  <w:footnote w:id="4">
    <w:p>
      <w:pPr>
        <w:pStyle w:val="1032"/>
        <w:jc w:val="both"/>
      </w:pPr>
      <w:r>
        <w:rPr>
          <w:rStyle w:val="1034"/>
        </w:rPr>
        <w:footnoteRef/>
      </w:r>
      <w:r>
        <w:t xml:space="preserve"> Актуальный Перече</w:t>
      </w:r>
      <w:r>
        <w:t xml:space="preserve">нь Банков-Гарантов Группы РусГидро размещен на официальном сайте Общества http://zakupki.rushydro.ru/PublicContent/Section/6</w:t>
      </w:r>
      <w:r/>
    </w:p>
  </w:footnote>
  <w:footnote w:id="5">
    <w:p>
      <w:pPr>
        <w:pStyle w:val="1032"/>
        <w:jc w:val="both"/>
      </w:pPr>
      <w:r>
        <w:rPr>
          <w:rStyle w:val="1034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</w:t>
      </w:r>
      <w:r>
        <w:t xml:space="preserve">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Сbonds).</w:t>
      </w:r>
      <w:r/>
    </w:p>
  </w:footnote>
  <w:footnote w:id="6">
    <w:p>
      <w:pPr>
        <w:pStyle w:val="1032"/>
        <w:jc w:val="both"/>
      </w:pPr>
      <w:r>
        <w:rPr>
          <w:rStyle w:val="1034"/>
        </w:rPr>
        <w:footnoteRef/>
      </w:r>
      <w:r>
        <w:t xml:space="preserve"> Данное требование не применяется в отношении небанк</w:t>
      </w:r>
      <w:r>
        <w:t xml:space="preserve">овских кредитных организаций.</w:t>
      </w:r>
      <w:r/>
    </w:p>
  </w:footnote>
  <w:footnote w:id="7">
    <w:p>
      <w:pPr>
        <w:pStyle w:val="1032"/>
        <w:jc w:val="both"/>
      </w:pPr>
      <w:r>
        <w:rPr>
          <w:rStyle w:val="1034"/>
        </w:rPr>
        <w:footnoteRef/>
      </w:r>
      <w:r>
        <w:t xml:space="preserve"> </w:t>
      </w:r>
      <w:r>
        <w:rPr>
          <w:lang w:eastAsia="en-US"/>
        </w:rPr>
        <w:t xml:space="preserve">Значение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</w:t>
      </w:r>
      <w:r>
        <w:rPr>
          <w:lang w:eastAsia="en-US"/>
        </w:rPr>
        <w:t xml:space="preserve">еньшую сторону; если первая из отделяемых цифр больше 5, то значение показателя округляется в большую сторону. Например, расчетное значение лимита - 5 440 млн. руб., лимит к установлению - 5 400 млн. руб.; расчетное значение лимита - 5 450 млн. руб., лимит</w:t>
      </w:r>
      <w:r>
        <w:rPr>
          <w:lang w:eastAsia="en-US"/>
        </w:rPr>
        <w:t xml:space="preserve"> к установлению - 5 500 млн. руб.</w:t>
      </w:r>
      <w:r/>
    </w:p>
  </w:footnote>
  <w:footnote w:id="8">
    <w:p>
      <w:pPr>
        <w:pStyle w:val="1032"/>
        <w:jc w:val="both"/>
      </w:pPr>
      <w:r>
        <w:rPr>
          <w:rStyle w:val="1034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</w:t>
      </w:r>
      <w:r>
        <w:t xml:space="preserve">а кредитной организации и /или рейтинговых агентств и/или из информационных систем Reuters, Bloomberg, Сbonds)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7"/>
  </w:num>
  <w:num w:numId="10">
    <w:abstractNumId w:val="5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9">
    <w:name w:val="Heading 1 Char"/>
    <w:basedOn w:val="841"/>
    <w:link w:val="832"/>
    <w:uiPriority w:val="9"/>
    <w:rPr>
      <w:rFonts w:ascii="Arial" w:hAnsi="Arial" w:eastAsia="Arial" w:cs="Arial"/>
      <w:sz w:val="40"/>
      <w:szCs w:val="40"/>
    </w:rPr>
  </w:style>
  <w:style w:type="character" w:styleId="820">
    <w:name w:val="Heading 2 Char"/>
    <w:basedOn w:val="841"/>
    <w:link w:val="833"/>
    <w:uiPriority w:val="9"/>
    <w:rPr>
      <w:rFonts w:ascii="Arial" w:hAnsi="Arial" w:eastAsia="Arial" w:cs="Arial"/>
      <w:sz w:val="34"/>
    </w:rPr>
  </w:style>
  <w:style w:type="character" w:styleId="821">
    <w:name w:val="Heading 4 Char"/>
    <w:basedOn w:val="841"/>
    <w:link w:val="835"/>
    <w:uiPriority w:val="9"/>
    <w:rPr>
      <w:rFonts w:ascii="Arial" w:hAnsi="Arial" w:eastAsia="Arial" w:cs="Arial"/>
      <w:b/>
      <w:bCs/>
      <w:sz w:val="26"/>
      <w:szCs w:val="26"/>
    </w:rPr>
  </w:style>
  <w:style w:type="character" w:styleId="822">
    <w:name w:val="Heading 5 Char"/>
    <w:basedOn w:val="841"/>
    <w:link w:val="836"/>
    <w:uiPriority w:val="9"/>
    <w:rPr>
      <w:rFonts w:ascii="Arial" w:hAnsi="Arial" w:eastAsia="Arial" w:cs="Arial"/>
      <w:b/>
      <w:bCs/>
      <w:sz w:val="24"/>
      <w:szCs w:val="24"/>
    </w:rPr>
  </w:style>
  <w:style w:type="character" w:styleId="823">
    <w:name w:val="Heading 6 Char"/>
    <w:basedOn w:val="841"/>
    <w:link w:val="837"/>
    <w:uiPriority w:val="9"/>
    <w:rPr>
      <w:rFonts w:ascii="Arial" w:hAnsi="Arial" w:eastAsia="Arial" w:cs="Arial"/>
      <w:b/>
      <w:bCs/>
      <w:sz w:val="22"/>
      <w:szCs w:val="22"/>
    </w:rPr>
  </w:style>
  <w:style w:type="character" w:styleId="824">
    <w:name w:val="Heading 7 Char"/>
    <w:basedOn w:val="841"/>
    <w:link w:val="8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5">
    <w:name w:val="Heading 8 Char"/>
    <w:basedOn w:val="841"/>
    <w:link w:val="839"/>
    <w:uiPriority w:val="9"/>
    <w:rPr>
      <w:rFonts w:ascii="Arial" w:hAnsi="Arial" w:eastAsia="Arial" w:cs="Arial"/>
      <w:i/>
      <w:iCs/>
      <w:sz w:val="22"/>
      <w:szCs w:val="22"/>
    </w:rPr>
  </w:style>
  <w:style w:type="character" w:styleId="826">
    <w:name w:val="Heading 9 Char"/>
    <w:basedOn w:val="841"/>
    <w:link w:val="840"/>
    <w:uiPriority w:val="9"/>
    <w:rPr>
      <w:rFonts w:ascii="Arial" w:hAnsi="Arial" w:eastAsia="Arial" w:cs="Arial"/>
      <w:i/>
      <w:iCs/>
      <w:sz w:val="21"/>
      <w:szCs w:val="21"/>
    </w:rPr>
  </w:style>
  <w:style w:type="character" w:styleId="827">
    <w:name w:val="Subtitle Char"/>
    <w:basedOn w:val="841"/>
    <w:link w:val="855"/>
    <w:uiPriority w:val="11"/>
    <w:rPr>
      <w:sz w:val="24"/>
      <w:szCs w:val="24"/>
    </w:rPr>
  </w:style>
  <w:style w:type="character" w:styleId="828">
    <w:name w:val="Quote Char"/>
    <w:link w:val="857"/>
    <w:uiPriority w:val="29"/>
    <w:rPr>
      <w:i/>
    </w:rPr>
  </w:style>
  <w:style w:type="character" w:styleId="829">
    <w:name w:val="Intense Quote Char"/>
    <w:link w:val="859"/>
    <w:uiPriority w:val="30"/>
    <w:rPr>
      <w:i/>
    </w:rPr>
  </w:style>
  <w:style w:type="character" w:styleId="830">
    <w:name w:val="Endnote Text Char"/>
    <w:link w:val="991"/>
    <w:uiPriority w:val="99"/>
    <w:rPr>
      <w:sz w:val="20"/>
    </w:rPr>
  </w:style>
  <w:style w:type="paragraph" w:styleId="831" w:default="1">
    <w:name w:val="Normal"/>
    <w:qFormat/>
    <w:pPr>
      <w:widowControl w:val="off"/>
    </w:pPr>
  </w:style>
  <w:style w:type="paragraph" w:styleId="832">
    <w:name w:val="Heading 1"/>
    <w:basedOn w:val="831"/>
    <w:next w:val="831"/>
    <w:link w:val="844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33">
    <w:name w:val="Heading 2"/>
    <w:basedOn w:val="831"/>
    <w:next w:val="831"/>
    <w:link w:val="8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34">
    <w:name w:val="Heading 3"/>
    <w:basedOn w:val="831"/>
    <w:next w:val="831"/>
    <w:link w:val="1026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paragraph" w:styleId="835">
    <w:name w:val="Heading 4"/>
    <w:basedOn w:val="831"/>
    <w:next w:val="831"/>
    <w:link w:val="8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6">
    <w:name w:val="Heading 5"/>
    <w:basedOn w:val="831"/>
    <w:next w:val="831"/>
    <w:link w:val="84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7">
    <w:name w:val="Heading 6"/>
    <w:basedOn w:val="831"/>
    <w:next w:val="831"/>
    <w:link w:val="84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38">
    <w:name w:val="Heading 7"/>
    <w:basedOn w:val="831"/>
    <w:next w:val="831"/>
    <w:link w:val="85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39">
    <w:name w:val="Heading 8"/>
    <w:basedOn w:val="831"/>
    <w:next w:val="831"/>
    <w:link w:val="85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40">
    <w:name w:val="Heading 9"/>
    <w:basedOn w:val="831"/>
    <w:next w:val="831"/>
    <w:link w:val="85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1" w:default="1">
    <w:name w:val="Default Paragraph Font"/>
    <w:uiPriority w:val="1"/>
    <w:semiHidden/>
    <w:unhideWhenUsed/>
  </w:style>
  <w:style w:type="table" w:styleId="84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3" w:default="1">
    <w:name w:val="No List"/>
    <w:uiPriority w:val="99"/>
    <w:semiHidden/>
    <w:unhideWhenUsed/>
  </w:style>
  <w:style w:type="character" w:styleId="844" w:customStyle="1">
    <w:name w:val="Заголовок 1 Знак"/>
    <w:basedOn w:val="841"/>
    <w:link w:val="832"/>
    <w:uiPriority w:val="9"/>
    <w:rPr>
      <w:rFonts w:ascii="Arial" w:hAnsi="Arial" w:eastAsia="Arial" w:cs="Arial"/>
      <w:sz w:val="40"/>
      <w:szCs w:val="40"/>
    </w:rPr>
  </w:style>
  <w:style w:type="character" w:styleId="845" w:customStyle="1">
    <w:name w:val="Заголовок 2 Знак"/>
    <w:basedOn w:val="841"/>
    <w:link w:val="833"/>
    <w:uiPriority w:val="9"/>
    <w:rPr>
      <w:rFonts w:ascii="Arial" w:hAnsi="Arial" w:eastAsia="Arial" w:cs="Arial"/>
      <w:sz w:val="34"/>
    </w:rPr>
  </w:style>
  <w:style w:type="character" w:styleId="846" w:customStyle="1">
    <w:name w:val="Heading 3 Char"/>
    <w:basedOn w:val="841"/>
    <w:uiPriority w:val="9"/>
    <w:rPr>
      <w:rFonts w:ascii="Arial" w:hAnsi="Arial" w:eastAsia="Arial" w:cs="Arial"/>
      <w:sz w:val="30"/>
      <w:szCs w:val="30"/>
    </w:rPr>
  </w:style>
  <w:style w:type="character" w:styleId="847" w:customStyle="1">
    <w:name w:val="Заголовок 4 Знак"/>
    <w:basedOn w:val="841"/>
    <w:link w:val="835"/>
    <w:uiPriority w:val="9"/>
    <w:rPr>
      <w:rFonts w:ascii="Arial" w:hAnsi="Arial" w:eastAsia="Arial" w:cs="Arial"/>
      <w:b/>
      <w:bCs/>
      <w:sz w:val="26"/>
      <w:szCs w:val="26"/>
    </w:rPr>
  </w:style>
  <w:style w:type="character" w:styleId="848" w:customStyle="1">
    <w:name w:val="Заголовок 5 Знак"/>
    <w:basedOn w:val="841"/>
    <w:link w:val="836"/>
    <w:uiPriority w:val="9"/>
    <w:rPr>
      <w:rFonts w:ascii="Arial" w:hAnsi="Arial" w:eastAsia="Arial" w:cs="Arial"/>
      <w:b/>
      <w:bCs/>
      <w:sz w:val="24"/>
      <w:szCs w:val="24"/>
    </w:rPr>
  </w:style>
  <w:style w:type="character" w:styleId="849" w:customStyle="1">
    <w:name w:val="Заголовок 6 Знак"/>
    <w:basedOn w:val="841"/>
    <w:link w:val="837"/>
    <w:uiPriority w:val="9"/>
    <w:rPr>
      <w:rFonts w:ascii="Arial" w:hAnsi="Arial" w:eastAsia="Arial" w:cs="Arial"/>
      <w:b/>
      <w:bCs/>
      <w:sz w:val="22"/>
      <w:szCs w:val="22"/>
    </w:rPr>
  </w:style>
  <w:style w:type="character" w:styleId="850" w:customStyle="1">
    <w:name w:val="Заголовок 7 Знак"/>
    <w:basedOn w:val="841"/>
    <w:link w:val="83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1" w:customStyle="1">
    <w:name w:val="Заголовок 8 Знак"/>
    <w:basedOn w:val="841"/>
    <w:link w:val="839"/>
    <w:uiPriority w:val="9"/>
    <w:rPr>
      <w:rFonts w:ascii="Arial" w:hAnsi="Arial" w:eastAsia="Arial" w:cs="Arial"/>
      <w:i/>
      <w:iCs/>
      <w:sz w:val="22"/>
      <w:szCs w:val="22"/>
    </w:rPr>
  </w:style>
  <w:style w:type="character" w:styleId="852" w:customStyle="1">
    <w:name w:val="Заголовок 9 Знак"/>
    <w:basedOn w:val="841"/>
    <w:link w:val="840"/>
    <w:uiPriority w:val="9"/>
    <w:rPr>
      <w:rFonts w:ascii="Arial" w:hAnsi="Arial" w:eastAsia="Arial" w:cs="Arial"/>
      <w:i/>
      <w:iCs/>
      <w:sz w:val="21"/>
      <w:szCs w:val="21"/>
    </w:rPr>
  </w:style>
  <w:style w:type="paragraph" w:styleId="853">
    <w:name w:val="No Spacing"/>
    <w:uiPriority w:val="1"/>
    <w:qFormat/>
  </w:style>
  <w:style w:type="character" w:styleId="854" w:customStyle="1">
    <w:name w:val="Title Char"/>
    <w:basedOn w:val="841"/>
    <w:uiPriority w:val="10"/>
    <w:rPr>
      <w:sz w:val="48"/>
      <w:szCs w:val="48"/>
    </w:rPr>
  </w:style>
  <w:style w:type="paragraph" w:styleId="855">
    <w:name w:val="Subtitle"/>
    <w:basedOn w:val="831"/>
    <w:next w:val="831"/>
    <w:link w:val="856"/>
    <w:uiPriority w:val="11"/>
    <w:qFormat/>
    <w:pPr>
      <w:spacing w:before="200" w:after="200"/>
    </w:pPr>
    <w:rPr>
      <w:sz w:val="24"/>
      <w:szCs w:val="24"/>
    </w:rPr>
  </w:style>
  <w:style w:type="character" w:styleId="856" w:customStyle="1">
    <w:name w:val="Подзаголовок Знак"/>
    <w:basedOn w:val="841"/>
    <w:link w:val="855"/>
    <w:uiPriority w:val="11"/>
    <w:rPr>
      <w:sz w:val="24"/>
      <w:szCs w:val="24"/>
    </w:rPr>
  </w:style>
  <w:style w:type="paragraph" w:styleId="857">
    <w:name w:val="Quote"/>
    <w:basedOn w:val="831"/>
    <w:next w:val="831"/>
    <w:link w:val="858"/>
    <w:uiPriority w:val="29"/>
    <w:qFormat/>
    <w:pPr>
      <w:ind w:left="720" w:right="720"/>
    </w:pPr>
    <w:rPr>
      <w:i/>
    </w:rPr>
  </w:style>
  <w:style w:type="character" w:styleId="858" w:customStyle="1">
    <w:name w:val="Цитата 2 Знак"/>
    <w:link w:val="857"/>
    <w:uiPriority w:val="29"/>
    <w:rPr>
      <w:i/>
    </w:rPr>
  </w:style>
  <w:style w:type="paragraph" w:styleId="859">
    <w:name w:val="Intense Quote"/>
    <w:basedOn w:val="831"/>
    <w:next w:val="831"/>
    <w:link w:val="86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0" w:customStyle="1">
    <w:name w:val="Выделенная цитата Знак"/>
    <w:link w:val="859"/>
    <w:uiPriority w:val="30"/>
    <w:rPr>
      <w:i/>
    </w:rPr>
  </w:style>
  <w:style w:type="character" w:styleId="861" w:customStyle="1">
    <w:name w:val="Header Char"/>
    <w:basedOn w:val="841"/>
    <w:uiPriority w:val="99"/>
  </w:style>
  <w:style w:type="character" w:styleId="862" w:customStyle="1">
    <w:name w:val="Footer Char"/>
    <w:basedOn w:val="841"/>
    <w:uiPriority w:val="99"/>
  </w:style>
  <w:style w:type="paragraph" w:styleId="863">
    <w:name w:val="Caption"/>
    <w:basedOn w:val="831"/>
    <w:next w:val="831"/>
    <w:link w:val="864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64" w:customStyle="1">
    <w:name w:val="Caption Char"/>
    <w:uiPriority w:val="99"/>
  </w:style>
  <w:style w:type="table" w:styleId="865" w:customStyle="1">
    <w:name w:val="Table Grid Light"/>
    <w:basedOn w:val="84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66">
    <w:name w:val="Plain Table 1"/>
    <w:basedOn w:val="84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7">
    <w:name w:val="Plain Table 2"/>
    <w:basedOn w:val="84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8">
    <w:name w:val="Plain Table 3"/>
    <w:basedOn w:val="84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9">
    <w:name w:val="Plain Table 4"/>
    <w:basedOn w:val="84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Plain Table 5"/>
    <w:basedOn w:val="84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1">
    <w:name w:val="Grid Table 1 Light"/>
    <w:basedOn w:val="84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Grid Table 1 Light - Accent 1"/>
    <w:basedOn w:val="842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2"/>
    <w:basedOn w:val="84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3"/>
    <w:basedOn w:val="84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4"/>
    <w:basedOn w:val="84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Grid Table 1 Light - Accent 5"/>
    <w:basedOn w:val="842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Grid Table 1 Light - Accent 6"/>
    <w:basedOn w:val="84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2"/>
    <w:basedOn w:val="84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2 - Accent 1"/>
    <w:basedOn w:val="842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2"/>
    <w:basedOn w:val="84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3"/>
    <w:basedOn w:val="84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4"/>
    <w:basedOn w:val="84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5"/>
    <w:basedOn w:val="842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2 - Accent 6"/>
    <w:basedOn w:val="84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"/>
    <w:basedOn w:val="84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 - Accent 1"/>
    <w:basedOn w:val="842"/>
    <w:uiPriority w:val="99"/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2"/>
    <w:basedOn w:val="842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3"/>
    <w:basedOn w:val="842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4"/>
    <w:basedOn w:val="842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5"/>
    <w:basedOn w:val="842"/>
    <w:uiPriority w:val="99"/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3 - Accent 6"/>
    <w:basedOn w:val="842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4"/>
    <w:basedOn w:val="84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3" w:customStyle="1">
    <w:name w:val="Grid Table 4 - Accent 1"/>
    <w:basedOn w:val="842"/>
    <w:uiPriority w:val="5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894" w:customStyle="1">
    <w:name w:val="Grid Table 4 - Accent 2"/>
    <w:basedOn w:val="842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95" w:customStyle="1">
    <w:name w:val="Grid Table 4 - Accent 3"/>
    <w:basedOn w:val="842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96" w:customStyle="1">
    <w:name w:val="Grid Table 4 - Accent 4"/>
    <w:basedOn w:val="842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97" w:customStyle="1">
    <w:name w:val="Grid Table 4 - Accent 5"/>
    <w:basedOn w:val="842"/>
    <w:uiPriority w:val="5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898" w:customStyle="1">
    <w:name w:val="Grid Table 4 - Accent 6"/>
    <w:basedOn w:val="842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99">
    <w:name w:val="Grid Table 5 Dark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00" w:customStyle="1">
    <w:name w:val="Grid Table 5 Dark- Accent 1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 - Accent 2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3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- Accent 4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 - Accent 5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05" w:customStyle="1">
    <w:name w:val="Grid Table 5 Dark - Accent 6"/>
    <w:basedOn w:val="84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06">
    <w:name w:val="Grid Table 6 Colorful"/>
    <w:basedOn w:val="84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7" w:customStyle="1">
    <w:name w:val="Grid Table 6 Colorful - Accent 1"/>
    <w:basedOn w:val="842"/>
    <w:uiPriority w:val="99"/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08" w:customStyle="1">
    <w:name w:val="Grid Table 6 Colorful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09" w:customStyle="1">
    <w:name w:val="Grid Table 6 Colorful - Accent 3"/>
    <w:basedOn w:val="842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10" w:customStyle="1">
    <w:name w:val="Grid Table 6 Colorful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11" w:customStyle="1">
    <w:name w:val="Grid Table 6 Colorful - Accent 5"/>
    <w:basedOn w:val="842"/>
    <w:uiPriority w:val="99"/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12" w:customStyle="1">
    <w:name w:val="Grid Table 6 Colorful - Accent 6"/>
    <w:basedOn w:val="842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13">
    <w:name w:val="Grid Table 7 Colorful"/>
    <w:basedOn w:val="84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Grid Table 7 Colorful - Accent 1"/>
    <w:basedOn w:val="842"/>
    <w:uiPriority w:val="99"/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2"/>
    <w:basedOn w:val="842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3"/>
    <w:basedOn w:val="842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4"/>
    <w:basedOn w:val="842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7 Colorful - Accent 5"/>
    <w:basedOn w:val="842"/>
    <w:uiPriority w:val="99"/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Grid Table 7 Colorful - Accent 6"/>
    <w:basedOn w:val="842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"/>
    <w:basedOn w:val="84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 - Accent 1"/>
    <w:basedOn w:val="842"/>
    <w:uiPriority w:val="99"/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2"/>
    <w:basedOn w:val="842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3"/>
    <w:basedOn w:val="842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4"/>
    <w:basedOn w:val="842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5"/>
    <w:basedOn w:val="842"/>
    <w:uiPriority w:val="99"/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1 Light - Accent 6"/>
    <w:basedOn w:val="842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2"/>
    <w:basedOn w:val="84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8" w:customStyle="1">
    <w:name w:val="List Table 2 - Accent 1"/>
    <w:basedOn w:val="842"/>
    <w:uiPriority w:val="99"/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2"/>
    <w:basedOn w:val="842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3"/>
    <w:basedOn w:val="842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4"/>
    <w:basedOn w:val="842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32" w:customStyle="1">
    <w:name w:val="List Table 2 - Accent 5"/>
    <w:basedOn w:val="842"/>
    <w:uiPriority w:val="99"/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33" w:customStyle="1">
    <w:name w:val="List Table 2 - Accent 6"/>
    <w:basedOn w:val="842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34">
    <w:name w:val="List Table 3"/>
    <w:basedOn w:val="84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3 - Accent 1"/>
    <w:basedOn w:val="842"/>
    <w:uiPriority w:val="99"/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3"/>
    <w:basedOn w:val="842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3 - Accent 5"/>
    <w:basedOn w:val="842"/>
    <w:uiPriority w:val="99"/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3 - Accent 6"/>
    <w:basedOn w:val="842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"/>
    <w:basedOn w:val="84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 - Accent 1"/>
    <w:basedOn w:val="842"/>
    <w:uiPriority w:val="99"/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2"/>
    <w:basedOn w:val="842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3"/>
    <w:basedOn w:val="842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4"/>
    <w:basedOn w:val="842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4 - Accent 5"/>
    <w:basedOn w:val="842"/>
    <w:uiPriority w:val="99"/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4 - Accent 6"/>
    <w:basedOn w:val="842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5 Dark"/>
    <w:basedOn w:val="84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49" w:customStyle="1">
    <w:name w:val="List Table 5 Dark - Accent 1"/>
    <w:basedOn w:val="842"/>
    <w:uiPriority w:val="99"/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3"/>
    <w:basedOn w:val="842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 w:customStyle="1">
    <w:name w:val="List Table 5 Dark - Accent 5"/>
    <w:basedOn w:val="842"/>
    <w:uiPriority w:val="99"/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4" w:customStyle="1">
    <w:name w:val="List Table 5 Dark - Accent 6"/>
    <w:basedOn w:val="842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5">
    <w:name w:val="List Table 6 Colorful"/>
    <w:basedOn w:val="84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6" w:customStyle="1">
    <w:name w:val="List Table 6 Colorful - Accent 1"/>
    <w:basedOn w:val="842"/>
    <w:uiPriority w:val="99"/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57" w:customStyle="1">
    <w:name w:val="List Table 6 Colorful - Accent 2"/>
    <w:basedOn w:val="842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58" w:customStyle="1">
    <w:name w:val="List Table 6 Colorful - Accent 3"/>
    <w:basedOn w:val="842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59" w:customStyle="1">
    <w:name w:val="List Table 6 Colorful - Accent 4"/>
    <w:basedOn w:val="842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60" w:customStyle="1">
    <w:name w:val="List Table 6 Colorful - Accent 5"/>
    <w:basedOn w:val="842"/>
    <w:uiPriority w:val="99"/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61" w:customStyle="1">
    <w:name w:val="List Table 6 Colorful - Accent 6"/>
    <w:basedOn w:val="842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62">
    <w:name w:val="List Table 7 Colorful"/>
    <w:basedOn w:val="84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7 Colorful - Accent 1"/>
    <w:basedOn w:val="842"/>
    <w:uiPriority w:val="99"/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2"/>
    <w:basedOn w:val="842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3"/>
    <w:basedOn w:val="842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4"/>
    <w:basedOn w:val="842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7 Colorful - Accent 5"/>
    <w:basedOn w:val="842"/>
    <w:uiPriority w:val="99"/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7 Colorful - Accent 6"/>
    <w:basedOn w:val="842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ned - Accent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0" w:customStyle="1">
    <w:name w:val="Lined - Accent 1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71" w:customStyle="1">
    <w:name w:val="Lined - Accent 2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72" w:customStyle="1">
    <w:name w:val="Lined - Accent 3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73" w:customStyle="1">
    <w:name w:val="Lined - Accent 4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74" w:customStyle="1">
    <w:name w:val="Lined - Accent 5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75" w:customStyle="1">
    <w:name w:val="Lined - Accent 6"/>
    <w:basedOn w:val="84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76" w:customStyle="1">
    <w:name w:val="Bordered &amp; Lined - Accent"/>
    <w:basedOn w:val="84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7" w:customStyle="1">
    <w:name w:val="Bordered &amp; Lined - Accent 1"/>
    <w:basedOn w:val="842"/>
    <w:uiPriority w:val="99"/>
    <w:rPr>
      <w:color w:val="404040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78" w:customStyle="1">
    <w:name w:val="Bordered &amp; Lined - Accent 2"/>
    <w:basedOn w:val="842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79" w:customStyle="1">
    <w:name w:val="Bordered &amp; Lined - Accent 3"/>
    <w:basedOn w:val="842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80" w:customStyle="1">
    <w:name w:val="Bordered &amp; Lined - Accent 4"/>
    <w:basedOn w:val="842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81" w:customStyle="1">
    <w:name w:val="Bordered &amp; Lined - Accent 5"/>
    <w:basedOn w:val="842"/>
    <w:uiPriority w:val="99"/>
    <w:rPr>
      <w:color w:val="404040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82" w:customStyle="1">
    <w:name w:val="Bordered &amp; Lined - Accent 6"/>
    <w:basedOn w:val="842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83" w:customStyle="1">
    <w:name w:val="Bordered"/>
    <w:basedOn w:val="84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4" w:customStyle="1">
    <w:name w:val="Bordered - Accent 1"/>
    <w:basedOn w:val="842"/>
    <w:uiPriority w:val="99"/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985" w:customStyle="1">
    <w:name w:val="Bordered - Accent 2"/>
    <w:basedOn w:val="842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86" w:customStyle="1">
    <w:name w:val="Bordered - Accent 3"/>
    <w:basedOn w:val="842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87" w:customStyle="1">
    <w:name w:val="Bordered - Accent 4"/>
    <w:basedOn w:val="842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88" w:customStyle="1">
    <w:name w:val="Bordered - Accent 5"/>
    <w:basedOn w:val="842"/>
    <w:uiPriority w:val="99"/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989" w:customStyle="1">
    <w:name w:val="Bordered - Accent 6"/>
    <w:basedOn w:val="842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90" w:customStyle="1">
    <w:name w:val="Footnote Text Char"/>
    <w:uiPriority w:val="99"/>
    <w:rPr>
      <w:sz w:val="18"/>
    </w:rPr>
  </w:style>
  <w:style w:type="paragraph" w:styleId="991">
    <w:name w:val="endnote text"/>
    <w:basedOn w:val="831"/>
    <w:link w:val="992"/>
    <w:uiPriority w:val="99"/>
    <w:semiHidden/>
    <w:unhideWhenUsed/>
  </w:style>
  <w:style w:type="character" w:styleId="992" w:customStyle="1">
    <w:name w:val="Текст концевой сноски Знак"/>
    <w:link w:val="991"/>
    <w:uiPriority w:val="99"/>
    <w:rPr>
      <w:sz w:val="20"/>
    </w:rPr>
  </w:style>
  <w:style w:type="character" w:styleId="993">
    <w:name w:val="endnote reference"/>
    <w:basedOn w:val="841"/>
    <w:uiPriority w:val="99"/>
    <w:semiHidden/>
    <w:unhideWhenUsed/>
    <w:rPr>
      <w:vertAlign w:val="superscript"/>
    </w:rPr>
  </w:style>
  <w:style w:type="paragraph" w:styleId="994">
    <w:name w:val="toc 1"/>
    <w:basedOn w:val="831"/>
    <w:next w:val="831"/>
    <w:uiPriority w:val="39"/>
    <w:unhideWhenUsed/>
    <w:pPr>
      <w:spacing w:after="57"/>
    </w:pPr>
  </w:style>
  <w:style w:type="paragraph" w:styleId="995">
    <w:name w:val="toc 2"/>
    <w:basedOn w:val="831"/>
    <w:next w:val="831"/>
    <w:uiPriority w:val="39"/>
    <w:unhideWhenUsed/>
    <w:pPr>
      <w:ind w:left="283"/>
      <w:spacing w:after="57"/>
    </w:pPr>
  </w:style>
  <w:style w:type="paragraph" w:styleId="996">
    <w:name w:val="toc 3"/>
    <w:basedOn w:val="831"/>
    <w:next w:val="831"/>
    <w:uiPriority w:val="39"/>
    <w:unhideWhenUsed/>
    <w:pPr>
      <w:ind w:left="567"/>
      <w:spacing w:after="57"/>
    </w:pPr>
  </w:style>
  <w:style w:type="paragraph" w:styleId="997">
    <w:name w:val="toc 4"/>
    <w:basedOn w:val="831"/>
    <w:next w:val="831"/>
    <w:uiPriority w:val="39"/>
    <w:unhideWhenUsed/>
    <w:pPr>
      <w:ind w:left="850"/>
      <w:spacing w:after="57"/>
    </w:pPr>
  </w:style>
  <w:style w:type="paragraph" w:styleId="998">
    <w:name w:val="toc 5"/>
    <w:basedOn w:val="831"/>
    <w:next w:val="831"/>
    <w:uiPriority w:val="39"/>
    <w:unhideWhenUsed/>
    <w:pPr>
      <w:ind w:left="1134"/>
      <w:spacing w:after="57"/>
    </w:pPr>
  </w:style>
  <w:style w:type="paragraph" w:styleId="999">
    <w:name w:val="toc 6"/>
    <w:basedOn w:val="831"/>
    <w:next w:val="831"/>
    <w:uiPriority w:val="39"/>
    <w:unhideWhenUsed/>
    <w:pPr>
      <w:ind w:left="1417"/>
      <w:spacing w:after="57"/>
    </w:pPr>
  </w:style>
  <w:style w:type="paragraph" w:styleId="1000">
    <w:name w:val="toc 7"/>
    <w:basedOn w:val="831"/>
    <w:next w:val="831"/>
    <w:uiPriority w:val="39"/>
    <w:unhideWhenUsed/>
    <w:pPr>
      <w:ind w:left="1701"/>
      <w:spacing w:after="57"/>
    </w:pPr>
  </w:style>
  <w:style w:type="paragraph" w:styleId="1001">
    <w:name w:val="toc 8"/>
    <w:basedOn w:val="831"/>
    <w:next w:val="831"/>
    <w:uiPriority w:val="39"/>
    <w:unhideWhenUsed/>
    <w:pPr>
      <w:ind w:left="1984"/>
      <w:spacing w:after="57"/>
    </w:pPr>
  </w:style>
  <w:style w:type="paragraph" w:styleId="1002">
    <w:name w:val="toc 9"/>
    <w:basedOn w:val="831"/>
    <w:next w:val="831"/>
    <w:uiPriority w:val="39"/>
    <w:unhideWhenUsed/>
    <w:pPr>
      <w:ind w:left="2268"/>
      <w:spacing w:after="57"/>
    </w:pPr>
  </w:style>
  <w:style w:type="paragraph" w:styleId="1003">
    <w:name w:val="TOC Heading"/>
    <w:uiPriority w:val="39"/>
    <w:unhideWhenUsed/>
  </w:style>
  <w:style w:type="paragraph" w:styleId="1004">
    <w:name w:val="table of figures"/>
    <w:basedOn w:val="831"/>
    <w:next w:val="831"/>
    <w:uiPriority w:val="99"/>
    <w:unhideWhenUsed/>
  </w:style>
  <w:style w:type="paragraph" w:styleId="1005">
    <w:name w:val="Title"/>
    <w:basedOn w:val="831"/>
    <w:link w:val="1012"/>
    <w:qFormat/>
    <w:pPr>
      <w:jc w:val="center"/>
    </w:pPr>
    <w:rPr>
      <w:b/>
      <w:bCs/>
      <w:sz w:val="24"/>
      <w:szCs w:val="24"/>
    </w:rPr>
  </w:style>
  <w:style w:type="paragraph" w:styleId="1006" w:customStyle="1">
    <w:name w:val="Таблицы (моноширинный)"/>
    <w:basedOn w:val="831"/>
    <w:next w:val="831"/>
    <w:pPr>
      <w:jc w:val="both"/>
    </w:pPr>
    <w:rPr>
      <w:rFonts w:ascii="Courier New" w:hAnsi="Courier New" w:cs="Courier New"/>
    </w:rPr>
  </w:style>
  <w:style w:type="paragraph" w:styleId="1007">
    <w:name w:val="Body Text Indent 2"/>
    <w:basedOn w:val="831"/>
    <w:pPr>
      <w:ind w:left="1843"/>
      <w:jc w:val="both"/>
    </w:pPr>
    <w:rPr>
      <w:sz w:val="24"/>
    </w:rPr>
  </w:style>
  <w:style w:type="paragraph" w:styleId="1008">
    <w:name w:val="Balloon Text"/>
    <w:basedOn w:val="831"/>
    <w:semiHidden/>
    <w:rPr>
      <w:rFonts w:ascii="Tahoma" w:hAnsi="Tahoma" w:cs="Tahoma"/>
      <w:sz w:val="16"/>
      <w:szCs w:val="16"/>
    </w:rPr>
  </w:style>
  <w:style w:type="paragraph" w:styleId="1009">
    <w:name w:val="Body Text 2"/>
    <w:basedOn w:val="831"/>
    <w:pPr>
      <w:spacing w:after="120" w:line="480" w:lineRule="auto"/>
      <w:widowControl/>
    </w:pPr>
    <w:rPr>
      <w:sz w:val="24"/>
      <w:szCs w:val="24"/>
    </w:rPr>
  </w:style>
  <w:style w:type="paragraph" w:styleId="1010">
    <w:name w:val="Body Text"/>
    <w:basedOn w:val="831"/>
    <w:link w:val="1013"/>
    <w:pPr>
      <w:spacing w:after="120"/>
    </w:pPr>
  </w:style>
  <w:style w:type="table" w:styleId="1011">
    <w:name w:val="Table Grid"/>
    <w:basedOn w:val="84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12" w:customStyle="1">
    <w:name w:val="Заголовок Знак"/>
    <w:link w:val="1005"/>
    <w:rPr>
      <w:b/>
      <w:bCs/>
      <w:sz w:val="24"/>
      <w:szCs w:val="24"/>
      <w:lang w:val="ru-RU" w:eastAsia="ru-RU" w:bidi="ar-SA"/>
    </w:rPr>
  </w:style>
  <w:style w:type="character" w:styleId="1013" w:customStyle="1">
    <w:name w:val="Основной текст Знак"/>
    <w:link w:val="1010"/>
    <w:rPr>
      <w:lang w:val="ru-RU" w:eastAsia="ru-RU" w:bidi="ar-SA"/>
    </w:rPr>
  </w:style>
  <w:style w:type="paragraph" w:styleId="1014">
    <w:name w:val="Footer"/>
    <w:basedOn w:val="831"/>
    <w:link w:val="1045"/>
    <w:uiPriority w:val="99"/>
    <w:pPr>
      <w:tabs>
        <w:tab w:val="center" w:pos="4677" w:leader="none"/>
        <w:tab w:val="right" w:pos="9355" w:leader="none"/>
      </w:tabs>
    </w:pPr>
  </w:style>
  <w:style w:type="character" w:styleId="1015">
    <w:name w:val="page number"/>
    <w:basedOn w:val="841"/>
  </w:style>
  <w:style w:type="paragraph" w:styleId="1016">
    <w:name w:val="Body Text 3"/>
    <w:basedOn w:val="831"/>
    <w:link w:val="1017"/>
    <w:pPr>
      <w:spacing w:after="120"/>
    </w:pPr>
    <w:rPr>
      <w:sz w:val="16"/>
      <w:szCs w:val="16"/>
    </w:rPr>
  </w:style>
  <w:style w:type="character" w:styleId="1017" w:customStyle="1">
    <w:name w:val="Основной текст 3 Знак"/>
    <w:link w:val="1016"/>
    <w:rPr>
      <w:sz w:val="16"/>
      <w:szCs w:val="16"/>
    </w:rPr>
  </w:style>
  <w:style w:type="character" w:styleId="1018">
    <w:name w:val="annotation reference"/>
    <w:rPr>
      <w:sz w:val="16"/>
      <w:szCs w:val="16"/>
    </w:rPr>
  </w:style>
  <w:style w:type="paragraph" w:styleId="1019">
    <w:name w:val="annotation text"/>
    <w:basedOn w:val="831"/>
    <w:link w:val="1020"/>
  </w:style>
  <w:style w:type="character" w:styleId="1020" w:customStyle="1">
    <w:name w:val="Текст примечания Знак"/>
    <w:basedOn w:val="841"/>
    <w:link w:val="1019"/>
  </w:style>
  <w:style w:type="paragraph" w:styleId="1021">
    <w:name w:val="annotation subject"/>
    <w:basedOn w:val="1019"/>
    <w:next w:val="1019"/>
    <w:link w:val="1022"/>
    <w:rPr>
      <w:b/>
      <w:bCs/>
    </w:rPr>
  </w:style>
  <w:style w:type="character" w:styleId="1022" w:customStyle="1">
    <w:name w:val="Тема примечания Знак"/>
    <w:link w:val="1021"/>
    <w:rPr>
      <w:b/>
      <w:bCs/>
    </w:rPr>
  </w:style>
  <w:style w:type="paragraph" w:styleId="1023">
    <w:name w:val="List Paragraph"/>
    <w:basedOn w:val="831"/>
    <w:uiPriority w:val="34"/>
    <w:qFormat/>
    <w:pPr>
      <w:contextualSpacing/>
      <w:ind w:left="720"/>
    </w:pPr>
  </w:style>
  <w:style w:type="paragraph" w:styleId="1024" w:customStyle="1">
    <w:name w:val="Знак Знак Знак Знак Знак Знак Знак Знак Знак"/>
    <w:basedOn w:val="831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25" w:customStyle="1">
    <w:name w:val="Подпункт договора"/>
    <w:basedOn w:val="831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26" w:customStyle="1">
    <w:name w:val="Заголовок 3 Знак"/>
    <w:link w:val="834"/>
    <w:semiHidden/>
    <w:rPr>
      <w:rFonts w:ascii="Cambria" w:hAnsi="Cambria" w:eastAsia="Times New Roman" w:cs="Times New Roman"/>
      <w:b/>
      <w:bCs/>
      <w:color w:val="4f81bd"/>
    </w:rPr>
  </w:style>
  <w:style w:type="paragraph" w:styleId="1027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8">
    <w:name w:val="Body Text Indent"/>
    <w:basedOn w:val="831"/>
    <w:link w:val="1029"/>
    <w:pPr>
      <w:ind w:left="283"/>
      <w:spacing w:after="120"/>
    </w:pPr>
  </w:style>
  <w:style w:type="character" w:styleId="1029" w:customStyle="1">
    <w:name w:val="Основной текст с отступом Знак"/>
    <w:basedOn w:val="841"/>
    <w:link w:val="1028"/>
  </w:style>
  <w:style w:type="paragraph" w:styleId="1030" w:customStyle="1">
    <w:name w:val="Знак"/>
    <w:basedOn w:val="831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31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32">
    <w:name w:val="footnote text"/>
    <w:basedOn w:val="831"/>
    <w:link w:val="1033"/>
  </w:style>
  <w:style w:type="character" w:styleId="1033" w:customStyle="1">
    <w:name w:val="Текст сноски Знак"/>
    <w:basedOn w:val="841"/>
    <w:link w:val="1032"/>
  </w:style>
  <w:style w:type="character" w:styleId="1034">
    <w:name w:val="footnote reference"/>
    <w:rPr>
      <w:vertAlign w:val="superscript"/>
    </w:rPr>
  </w:style>
  <w:style w:type="paragraph" w:styleId="1035">
    <w:name w:val="List Bullet 3"/>
    <w:basedOn w:val="831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36" w:customStyle="1">
    <w:name w:val="Контракт-пункт"/>
    <w:basedOn w:val="831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37">
    <w:name w:val="Document Map"/>
    <w:basedOn w:val="831"/>
    <w:semiHidden/>
    <w:pPr>
      <w:shd w:val="clear" w:color="auto" w:fill="000080"/>
    </w:pPr>
    <w:rPr>
      <w:rFonts w:ascii="Tahoma" w:hAnsi="Tahoma" w:cs="Tahoma"/>
    </w:rPr>
  </w:style>
  <w:style w:type="paragraph" w:styleId="1038">
    <w:name w:val="Revision"/>
    <w:hidden/>
    <w:uiPriority w:val="99"/>
    <w:semiHidden/>
  </w:style>
  <w:style w:type="paragraph" w:styleId="1039">
    <w:name w:val="Header"/>
    <w:basedOn w:val="831"/>
    <w:link w:val="1040"/>
    <w:uiPriority w:val="99"/>
    <w:pPr>
      <w:tabs>
        <w:tab w:val="center" w:pos="4677" w:leader="none"/>
        <w:tab w:val="right" w:pos="9355" w:leader="none"/>
      </w:tabs>
    </w:pPr>
  </w:style>
  <w:style w:type="character" w:styleId="1040" w:customStyle="1">
    <w:name w:val="Верхний колонтитул Знак"/>
    <w:basedOn w:val="841"/>
    <w:link w:val="1039"/>
    <w:uiPriority w:val="99"/>
  </w:style>
  <w:style w:type="paragraph" w:styleId="1041" w:customStyle="1">
    <w:name w:val="Пункт договора"/>
    <w:basedOn w:val="831"/>
    <w:pPr>
      <w:jc w:val="both"/>
    </w:pPr>
    <w:rPr>
      <w:rFonts w:ascii="Arial" w:hAnsi="Arial"/>
    </w:rPr>
  </w:style>
  <w:style w:type="paragraph" w:styleId="1042" w:customStyle="1">
    <w:name w:val="Знак Знак Знак Знак Знак Знак Знак Знак Знак1"/>
    <w:basedOn w:val="831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43">
    <w:name w:val="Hyperlink"/>
    <w:rPr>
      <w:color w:val="0000ff"/>
      <w:u w:val="single"/>
    </w:rPr>
  </w:style>
  <w:style w:type="paragraph" w:styleId="1044" w:customStyle="1">
    <w:name w:val="Обычный1"/>
  </w:style>
  <w:style w:type="character" w:styleId="1045" w:customStyle="1">
    <w:name w:val="Нижний колонтитул Знак"/>
    <w:link w:val="1014"/>
    <w:uiPriority w:val="99"/>
  </w:style>
  <w:style w:type="paragraph" w:styleId="1046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47">
    <w:name w:val="Normal (Web)"/>
    <w:basedOn w:val="831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48" w:customStyle="1">
    <w:name w:val="StGen0"/>
    <w:basedOn w:val="831"/>
    <w:next w:val="1005"/>
    <w:link w:val="1049"/>
    <w:qFormat/>
    <w:pPr>
      <w:jc w:val="center"/>
    </w:pPr>
    <w:rPr>
      <w:b/>
      <w:bCs/>
      <w:sz w:val="24"/>
      <w:szCs w:val="24"/>
    </w:rPr>
  </w:style>
  <w:style w:type="character" w:styleId="1049" w:customStyle="1">
    <w:name w:val="Название Знак"/>
    <w:link w:val="1048"/>
    <w:rPr>
      <w:b/>
      <w:bCs/>
      <w:sz w:val="24"/>
      <w:szCs w:val="24"/>
    </w:rPr>
  </w:style>
  <w:style w:type="paragraph" w:styleId="1050" w:customStyle="1">
    <w:name w:val="ConsNonformat"/>
    <w:rPr>
      <w:rFonts w:ascii="Courier New" w:hAnsi="Courier New" w:cs="Courier New"/>
    </w:rPr>
  </w:style>
  <w:style w:type="paragraph" w:styleId="1051" w:customStyle="1">
    <w:name w:val="text"/>
    <w:pPr>
      <w:spacing w:after="24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4"/>
      <w:szCs w:val="24"/>
    </w:rPr>
  </w:style>
  <w:style w:type="paragraph" w:styleId="1052" w:customStyle="1">
    <w:name w:val="Основной текст с отступом1"/>
    <w:basedOn w:val="855"/>
    <w:next w:val="863"/>
    <w:semiHidden/>
    <w:pPr>
      <w:ind w:firstLine="720"/>
      <w:jc w:val="both"/>
      <w:spacing w:before="0" w:after="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B0BAB9-8B8F-4B85-B8DF-266ED50E1B2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565647-E014-4E1E-936A-2335B2725E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Inter RAO UES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lastModifiedBy>lukyanova_ts</cp:lastModifiedBy>
  <cp:revision>50</cp:revision>
  <dcterms:created xsi:type="dcterms:W3CDTF">2019-09-20T01:52:00Z</dcterms:created>
  <dcterms:modified xsi:type="dcterms:W3CDTF">2026-08-26T02:12:23Z</dcterms:modified>
</cp:coreProperties>
</file>